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CC7" w:rsidRPr="00C60CC7" w:rsidRDefault="00C60CC7" w:rsidP="00C60CC7">
      <w:pPr>
        <w:shd w:val="clear" w:color="auto" w:fill="FFFFFF"/>
        <w:spacing w:after="120" w:line="360" w:lineRule="atLeast"/>
        <w:jc w:val="center"/>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b/>
          <w:bCs/>
          <w:color w:val="222222"/>
          <w:sz w:val="28"/>
          <w:szCs w:val="28"/>
          <w:lang w:eastAsia="sl-SI"/>
        </w:rPr>
        <w:t>Odgovori na 14 vprašanj ob Izjavi ministra za izobraževanje, znanost in mladino (2026)</w:t>
      </w:r>
      <w:r w:rsidRPr="00C60CC7">
        <w:rPr>
          <w:rFonts w:ascii="Times New Roman" w:eastAsia="Times New Roman" w:hAnsi="Times New Roman" w:cs="Times New Roman"/>
          <w:color w:val="222222"/>
          <w:sz w:val="27"/>
          <w:szCs w:val="27"/>
          <w:lang w:eastAsia="sl-SI"/>
        </w:rPr>
        <w:t> </w:t>
      </w:r>
    </w:p>
    <w:p w:rsidR="00C60CC7" w:rsidRPr="00C60CC7" w:rsidRDefault="00C60CC7" w:rsidP="00C60CC7">
      <w:pPr>
        <w:shd w:val="clear" w:color="auto" w:fill="FFFFFF"/>
        <w:spacing w:after="120" w:line="360" w:lineRule="atLeast"/>
        <w:jc w:val="center"/>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prof. dr. Milena Mileva </w:t>
      </w:r>
      <w:proofErr w:type="spellStart"/>
      <w:r w:rsidRPr="00C60CC7">
        <w:rPr>
          <w:rFonts w:ascii="Times New Roman" w:eastAsia="Times New Roman" w:hAnsi="Times New Roman" w:cs="Times New Roman"/>
          <w:color w:val="222222"/>
          <w:sz w:val="27"/>
          <w:szCs w:val="27"/>
          <w:lang w:eastAsia="sl-SI"/>
        </w:rPr>
        <w:t>Blažić</w:t>
      </w:r>
      <w:proofErr w:type="spellEnd"/>
    </w:p>
    <w:p w:rsidR="00C60CC7" w:rsidRPr="00C60CC7" w:rsidRDefault="00C60CC7" w:rsidP="00C60CC7">
      <w:pPr>
        <w:shd w:val="clear" w:color="auto" w:fill="FFFFFF"/>
        <w:spacing w:after="120" w:line="360" w:lineRule="atLeast"/>
        <w:jc w:val="center"/>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Pedagoška fakulteta Univerze v Ljubljani / </w:t>
      </w:r>
      <w:proofErr w:type="spellStart"/>
      <w:r w:rsidRPr="00C60CC7">
        <w:rPr>
          <w:rFonts w:ascii="Times New Roman" w:eastAsia="Times New Roman" w:hAnsi="Times New Roman" w:cs="Times New Roman"/>
          <w:color w:val="222222"/>
          <w:sz w:val="27"/>
          <w:szCs w:val="27"/>
          <w:lang w:eastAsia="sl-SI"/>
        </w:rPr>
        <w:t>Faculty</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of</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Education</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University</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of</w:t>
      </w:r>
      <w:proofErr w:type="spellEnd"/>
      <w:r w:rsidRPr="00C60CC7">
        <w:rPr>
          <w:rFonts w:ascii="Times New Roman" w:eastAsia="Times New Roman" w:hAnsi="Times New Roman" w:cs="Times New Roman"/>
          <w:color w:val="222222"/>
          <w:sz w:val="27"/>
          <w:szCs w:val="27"/>
          <w:lang w:eastAsia="sl-SI"/>
        </w:rPr>
        <w:t xml:space="preserve"> Ljubljana</w:t>
      </w:r>
    </w:p>
    <w:p w:rsidR="00C60CC7" w:rsidRPr="00C60CC7" w:rsidRDefault="00C60CC7" w:rsidP="00C60CC7">
      <w:pPr>
        <w:shd w:val="clear" w:color="auto" w:fill="FFFFFF"/>
        <w:spacing w:after="120" w:line="360" w:lineRule="atLeast"/>
        <w:jc w:val="center"/>
        <w:rPr>
          <w:rFonts w:ascii="Times New Roman" w:eastAsia="Times New Roman" w:hAnsi="Times New Roman" w:cs="Times New Roman"/>
          <w:color w:val="222222"/>
          <w:sz w:val="27"/>
          <w:szCs w:val="27"/>
          <w:lang w:eastAsia="sl-SI"/>
        </w:rPr>
      </w:pPr>
      <w:hyperlink r:id="rId4" w:tgtFrame="_blank" w:history="1">
        <w:r w:rsidRPr="00C60CC7">
          <w:rPr>
            <w:rFonts w:ascii="Times New Roman" w:eastAsia="Times New Roman" w:hAnsi="Times New Roman" w:cs="Times New Roman"/>
            <w:color w:val="1155CC"/>
            <w:sz w:val="27"/>
            <w:szCs w:val="27"/>
            <w:u w:val="single"/>
            <w:lang w:eastAsia="sl-SI"/>
          </w:rPr>
          <w:t>milena.blazic@pef.uni-lj.si</w:t>
        </w:r>
      </w:hyperlink>
    </w:p>
    <w:p w:rsidR="00C60CC7" w:rsidRPr="00C60CC7" w:rsidRDefault="00C60CC7" w:rsidP="00C60CC7">
      <w:pPr>
        <w:shd w:val="clear" w:color="auto" w:fill="FFFFFF"/>
        <w:spacing w:after="120" w:line="360" w:lineRule="atLeast"/>
        <w:jc w:val="center"/>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2026 </w:t>
      </w:r>
    </w:p>
    <w:p w:rsidR="00C60CC7" w:rsidRPr="00C60CC7" w:rsidRDefault="00C60CC7" w:rsidP="00C60CC7">
      <w:pPr>
        <w:shd w:val="clear" w:color="auto" w:fill="FFFFFF"/>
        <w:spacing w:after="0" w:line="300" w:lineRule="atLeast"/>
        <w:rPr>
          <w:rFonts w:ascii="Segoe UI" w:eastAsia="Times New Roman" w:hAnsi="Segoe UI" w:cs="Segoe UI"/>
          <w:color w:val="222222"/>
          <w:sz w:val="21"/>
          <w:szCs w:val="21"/>
          <w:lang w:eastAsia="sl-SI"/>
        </w:rPr>
      </w:pPr>
      <w:r w:rsidRPr="00C60CC7">
        <w:rPr>
          <w:rFonts w:ascii="Segoe UI" w:eastAsia="Times New Roman" w:hAnsi="Segoe UI" w:cs="Segoe UI"/>
          <w:b/>
          <w:bCs/>
          <w:color w:val="222222"/>
          <w:sz w:val="21"/>
          <w:szCs w:val="21"/>
          <w:lang w:eastAsia="sl-SI"/>
        </w:rPr>
        <w:t>Izjava (Claude.ai).</w:t>
      </w:r>
      <w:r w:rsidRPr="00C60CC7">
        <w:rPr>
          <w:rFonts w:ascii="Segoe UI" w:eastAsia="Times New Roman" w:hAnsi="Segoe UI" w:cs="Segoe UI"/>
          <w:color w:val="222222"/>
          <w:sz w:val="21"/>
          <w:szCs w:val="21"/>
          <w:lang w:eastAsia="sl-SI"/>
        </w:rPr>
        <w:t> Claude.ai (</w:t>
      </w:r>
      <w:proofErr w:type="spellStart"/>
      <w:r w:rsidRPr="00C60CC7">
        <w:rPr>
          <w:rFonts w:ascii="Segoe UI" w:eastAsia="Times New Roman" w:hAnsi="Segoe UI" w:cs="Segoe UI"/>
          <w:color w:val="222222"/>
          <w:sz w:val="21"/>
          <w:szCs w:val="21"/>
          <w:lang w:eastAsia="sl-SI"/>
        </w:rPr>
        <w:t>Anthropic</w:t>
      </w:r>
      <w:proofErr w:type="spellEnd"/>
      <w:r w:rsidRPr="00C60CC7">
        <w:rPr>
          <w:rFonts w:ascii="Segoe UI" w:eastAsia="Times New Roman" w:hAnsi="Segoe UI" w:cs="Segoe UI"/>
          <w:color w:val="222222"/>
          <w:sz w:val="21"/>
          <w:szCs w:val="21"/>
          <w:lang w:eastAsia="sl-SI"/>
        </w:rPr>
        <w:t>) je bil uporabljen za tehnično pomoč pri urejanju besedila. Vsebina, interpretacije in odgovornost za besedilo so v celoti avtoričine. Analiza obravnava besedilo, ne njegovega avtorja.</w:t>
      </w:r>
    </w:p>
    <w:p w:rsidR="00C60CC7" w:rsidRPr="00C60CC7" w:rsidRDefault="00C60CC7" w:rsidP="00C60CC7">
      <w:pPr>
        <w:shd w:val="clear" w:color="auto" w:fill="FFFFFF"/>
        <w:spacing w:before="360" w:after="200" w:line="480" w:lineRule="atLeast"/>
        <w:outlineLvl w:val="0"/>
        <w:rPr>
          <w:rFonts w:ascii="Times New Roman" w:eastAsia="Times New Roman" w:hAnsi="Times New Roman" w:cs="Times New Roman"/>
          <w:color w:val="2E74B5"/>
          <w:kern w:val="36"/>
          <w:sz w:val="32"/>
          <w:szCs w:val="32"/>
          <w:lang w:eastAsia="sl-SI"/>
        </w:rPr>
      </w:pPr>
      <w:r w:rsidRPr="00C60CC7">
        <w:rPr>
          <w:rFonts w:ascii="Times New Roman" w:eastAsia="Times New Roman" w:hAnsi="Times New Roman" w:cs="Times New Roman"/>
          <w:b/>
          <w:bCs/>
          <w:color w:val="000000"/>
          <w:kern w:val="36"/>
          <w:sz w:val="28"/>
          <w:szCs w:val="28"/>
          <w:lang w:eastAsia="sl-SI"/>
        </w:rPr>
        <w:t>Uvod</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Odgovori so literarnovedna analiza besedila, ne njegovega avtorja; združujejo pristope literarne vede, kritične analize diskurza in </w:t>
      </w:r>
      <w:proofErr w:type="spellStart"/>
      <w:r w:rsidRPr="00C60CC7">
        <w:rPr>
          <w:rFonts w:ascii="Times New Roman" w:eastAsia="Times New Roman" w:hAnsi="Times New Roman" w:cs="Times New Roman"/>
          <w:color w:val="222222"/>
          <w:sz w:val="27"/>
          <w:szCs w:val="27"/>
          <w:lang w:eastAsia="sl-SI"/>
        </w:rPr>
        <w:t>kurikularnih</w:t>
      </w:r>
      <w:proofErr w:type="spellEnd"/>
      <w:r w:rsidRPr="00C60CC7">
        <w:rPr>
          <w:rFonts w:ascii="Times New Roman" w:eastAsia="Times New Roman" w:hAnsi="Times New Roman" w:cs="Times New Roman"/>
          <w:color w:val="222222"/>
          <w:sz w:val="27"/>
          <w:szCs w:val="27"/>
          <w:lang w:eastAsia="sl-SI"/>
        </w:rPr>
        <w:t xml:space="preserve"> študij ter se osredotočajo na razmerja med argumentacijo, metaforiko, vrednostnimi predpostavkami in predstavami o izobraževalni politiki, kakor se oblikujejo v analiziranem besedilu. Osrednja teza je, da slovenski šolski sistem ni kronično </w:t>
      </w:r>
      <w:proofErr w:type="spellStart"/>
      <w:r w:rsidRPr="00C60CC7">
        <w:rPr>
          <w:rFonts w:ascii="Times New Roman" w:eastAsia="Times New Roman" w:hAnsi="Times New Roman" w:cs="Times New Roman"/>
          <w:color w:val="222222"/>
          <w:sz w:val="27"/>
          <w:szCs w:val="27"/>
          <w:lang w:eastAsia="sl-SI"/>
        </w:rPr>
        <w:t>nereformiran</w:t>
      </w:r>
      <w:proofErr w:type="spellEnd"/>
      <w:r w:rsidRPr="00C60CC7">
        <w:rPr>
          <w:rFonts w:ascii="Times New Roman" w:eastAsia="Times New Roman" w:hAnsi="Times New Roman" w:cs="Times New Roman"/>
          <w:color w:val="222222"/>
          <w:sz w:val="27"/>
          <w:szCs w:val="27"/>
          <w:lang w:eastAsia="sl-SI"/>
        </w:rPr>
        <w:t xml:space="preserve">, temveč kronično reformiran in kronično </w:t>
      </w:r>
      <w:proofErr w:type="spellStart"/>
      <w:r w:rsidRPr="00C60CC7">
        <w:rPr>
          <w:rFonts w:ascii="Times New Roman" w:eastAsia="Times New Roman" w:hAnsi="Times New Roman" w:cs="Times New Roman"/>
          <w:color w:val="222222"/>
          <w:sz w:val="27"/>
          <w:szCs w:val="27"/>
          <w:lang w:eastAsia="sl-SI"/>
        </w:rPr>
        <w:t>neevalviran</w:t>
      </w:r>
      <w:proofErr w:type="spellEnd"/>
      <w:r w:rsidRPr="00C60CC7">
        <w:rPr>
          <w:rFonts w:ascii="Times New Roman" w:eastAsia="Times New Roman" w:hAnsi="Times New Roman" w:cs="Times New Roman"/>
          <w:color w:val="222222"/>
          <w:sz w:val="27"/>
          <w:szCs w:val="27"/>
          <w:lang w:eastAsia="sl-SI"/>
        </w:rPr>
        <w:t>, in da je v tej praksi književnost – branje, kanon, avtorice, ljudsko slovstvo – med najmanj obravnavanimi vsebinskimi področji. Predmet je delovno besedilo izjave (</w:t>
      </w:r>
      <w:proofErr w:type="spellStart"/>
      <w:r w:rsidRPr="00C60CC7">
        <w:rPr>
          <w:rFonts w:ascii="Times New Roman" w:eastAsia="Times New Roman" w:hAnsi="Times New Roman" w:cs="Times New Roman"/>
          <w:color w:val="222222"/>
          <w:sz w:val="27"/>
          <w:szCs w:val="27"/>
          <w:lang w:eastAsia="sl-SI"/>
        </w:rPr>
        <w:t>Rončević</w:t>
      </w:r>
      <w:proofErr w:type="spellEnd"/>
      <w:r w:rsidRPr="00C60CC7">
        <w:rPr>
          <w:rFonts w:ascii="Times New Roman" w:eastAsia="Times New Roman" w:hAnsi="Times New Roman" w:cs="Times New Roman"/>
          <w:color w:val="222222"/>
          <w:sz w:val="27"/>
          <w:szCs w:val="27"/>
          <w:lang w:eastAsia="sl-SI"/>
        </w:rPr>
        <w:t>, Borut, minister za izobraževanje, znanost in mladino: </w:t>
      </w:r>
      <w:r w:rsidRPr="00C60CC7">
        <w:rPr>
          <w:rFonts w:ascii="Times New Roman" w:eastAsia="Times New Roman" w:hAnsi="Times New Roman" w:cs="Times New Roman"/>
          <w:i/>
          <w:iCs/>
          <w:color w:val="222222"/>
          <w:sz w:val="27"/>
          <w:szCs w:val="27"/>
          <w:lang w:eastAsia="sl-SI"/>
        </w:rPr>
        <w:t>Izjava ministra za izobraževanje, znanost in mladino</w:t>
      </w:r>
      <w:r w:rsidRPr="00C60CC7">
        <w:rPr>
          <w:rFonts w:ascii="Times New Roman" w:eastAsia="Times New Roman" w:hAnsi="Times New Roman" w:cs="Times New Roman"/>
          <w:color w:val="222222"/>
          <w:sz w:val="27"/>
          <w:szCs w:val="27"/>
          <w:lang w:eastAsia="sl-SI"/>
        </w:rPr>
        <w:t> [delovno besedilo], 10. 9. 2026); številka za oznako "Izjava" pomeni odstavek. V besedilu je obveznost pripisana otroku, učitelju in stroki ("mora/morajo" 44-krat), obljuba ministrstvu ("bomo" 56-krat); besede </w:t>
      </w:r>
      <w:r w:rsidRPr="00C60CC7">
        <w:rPr>
          <w:rFonts w:ascii="Times New Roman" w:eastAsia="Times New Roman" w:hAnsi="Times New Roman" w:cs="Times New Roman"/>
          <w:i/>
          <w:iCs/>
          <w:color w:val="222222"/>
          <w:sz w:val="27"/>
          <w:szCs w:val="27"/>
          <w:lang w:eastAsia="sl-SI"/>
        </w:rPr>
        <w:t>korist otroka, knjiga, književnost, knjižnica</w:t>
      </w:r>
      <w:r w:rsidRPr="00C60CC7">
        <w:rPr>
          <w:rFonts w:ascii="Times New Roman" w:eastAsia="Times New Roman" w:hAnsi="Times New Roman" w:cs="Times New Roman"/>
          <w:color w:val="222222"/>
          <w:sz w:val="27"/>
          <w:szCs w:val="27"/>
          <w:lang w:eastAsia="sl-SI"/>
        </w:rPr>
        <w:t> ipd. se ne pojavijo. Pravljične analogije v naslovih ne označujejo oseb ali političnih akterjev, temveč posamezne argumentacijske strukture, prepoznane v analiziranem besedilu; navedene so le tam, kjer nosijo tezo.</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Metodologija</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Predmet analize je delovno besedilo izjave (2810 besed, 131 oštevilčenih odstavkov; oštevilčenje je avtoričino). Uporabljeni so trije postopki: literarnovedna analiza argumentacije in metaforike, kritična analiza diskurza (vloge udeležencev, modalnost, vrednostne predpostavke) in </w:t>
      </w:r>
      <w:proofErr w:type="spellStart"/>
      <w:r w:rsidRPr="00C60CC7">
        <w:rPr>
          <w:rFonts w:ascii="Times New Roman" w:eastAsia="Times New Roman" w:hAnsi="Times New Roman" w:cs="Times New Roman"/>
          <w:color w:val="222222"/>
          <w:sz w:val="27"/>
          <w:szCs w:val="27"/>
          <w:lang w:eastAsia="sl-SI"/>
        </w:rPr>
        <w:t>kurikularna</w:t>
      </w:r>
      <w:proofErr w:type="spellEnd"/>
      <w:r w:rsidRPr="00C60CC7">
        <w:rPr>
          <w:rFonts w:ascii="Times New Roman" w:eastAsia="Times New Roman" w:hAnsi="Times New Roman" w:cs="Times New Roman"/>
          <w:color w:val="222222"/>
          <w:sz w:val="27"/>
          <w:szCs w:val="27"/>
          <w:lang w:eastAsia="sl-SI"/>
        </w:rPr>
        <w:t xml:space="preserve"> analiza, ki izjavo primerja z učnimi načrti za slovenščino 1869–2025 in z avtoričinimi predhodnimi raziskavami. Analiza ključnih leksemov je opravljena na celotnem besedilu (npr. "mora/morajo" </w:t>
      </w:r>
      <w:r w:rsidRPr="00C60CC7">
        <w:rPr>
          <w:rFonts w:ascii="Times New Roman" w:eastAsia="Times New Roman" w:hAnsi="Times New Roman" w:cs="Times New Roman"/>
          <w:color w:val="222222"/>
          <w:sz w:val="27"/>
          <w:szCs w:val="27"/>
          <w:lang w:eastAsia="sl-SI"/>
        </w:rPr>
        <w:lastRenderedPageBreak/>
        <w:t>44, "bomo" 56, "odgovornost" 22, "obsodba" 2; "knjiga", "književnost", "knjižnica", "korist otroka" 0). Evalvacija je v tem besedilu razumljena kot sistematična, neodvisna in javno objavljena presoja učinkov učnega načrta na znanje učencev; izraz je uporabljen dosledno v tem pomenu. Omejitve: analizirano je delovno, ne objavljeno besedilo, zato se številke odstavkov in nekateri navedki v končni verziji lahko razlikujejo; analiza ne presoja učinkov napovedanih ukrepov, temveč njihovo utemeljitev v besedilu.</w:t>
      </w:r>
    </w:p>
    <w:p w:rsidR="00C60CC7" w:rsidRPr="00C60CC7" w:rsidRDefault="00C60CC7" w:rsidP="00C60CC7">
      <w:pPr>
        <w:spacing w:after="0" w:line="240" w:lineRule="auto"/>
        <w:rPr>
          <w:rFonts w:ascii="Times New Roman" w:eastAsia="Times New Roman" w:hAnsi="Times New Roman" w:cs="Times New Roman"/>
          <w:sz w:val="24"/>
          <w:szCs w:val="24"/>
          <w:lang w:eastAsia="sl-SI"/>
        </w:rPr>
      </w:pPr>
      <w:r w:rsidRPr="00C60CC7">
        <w:rPr>
          <w:rFonts w:ascii="Arial" w:eastAsia="Times New Roman" w:hAnsi="Arial" w:cs="Arial"/>
          <w:color w:val="222222"/>
          <w:sz w:val="24"/>
          <w:szCs w:val="24"/>
          <w:lang w:eastAsia="sl-SI"/>
        </w:rPr>
        <w:br w:type="textWrapping" w:clear="all"/>
      </w:r>
      <w:bookmarkStart w:id="0" w:name="_GoBack"/>
      <w:bookmarkEnd w:id="0"/>
      <w:r w:rsidRPr="00C60CC7">
        <w:rPr>
          <w:rFonts w:ascii="Times New Roman" w:eastAsia="Times New Roman" w:hAnsi="Times New Roman" w:cs="Times New Roman"/>
          <w:b/>
          <w:bCs/>
          <w:color w:val="2E74B5"/>
          <w:sz w:val="24"/>
          <w:szCs w:val="24"/>
          <w:lang w:eastAsia="sl-SI"/>
        </w:rPr>
        <w:t>1. Kako vidite sedanje stanje slovenskega izobraževalnega sistema? – </w:t>
      </w:r>
      <w:r w:rsidRPr="00C60CC7">
        <w:rPr>
          <w:rFonts w:ascii="Times New Roman" w:eastAsia="Times New Roman" w:hAnsi="Times New Roman" w:cs="Times New Roman"/>
          <w:b/>
          <w:bCs/>
          <w:i/>
          <w:iCs/>
          <w:color w:val="2E74B5"/>
          <w:sz w:val="24"/>
          <w:szCs w:val="24"/>
          <w:lang w:eastAsia="sl-SI"/>
        </w:rPr>
        <w:t>Cesarjeva nova oblačila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The</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Emperor’s</w:t>
      </w:r>
      <w:proofErr w:type="spellEnd"/>
      <w:r w:rsidRPr="00C60CC7">
        <w:rPr>
          <w:rFonts w:ascii="Times New Roman" w:eastAsia="Times New Roman" w:hAnsi="Times New Roman" w:cs="Times New Roman"/>
          <w:b/>
          <w:bCs/>
          <w:color w:val="2E74B5"/>
          <w:sz w:val="24"/>
          <w:szCs w:val="24"/>
          <w:lang w:eastAsia="sl-SI"/>
        </w:rPr>
        <w:t xml:space="preserve"> New </w:t>
      </w:r>
      <w:proofErr w:type="spellStart"/>
      <w:r w:rsidRPr="00C60CC7">
        <w:rPr>
          <w:rFonts w:ascii="Times New Roman" w:eastAsia="Times New Roman" w:hAnsi="Times New Roman" w:cs="Times New Roman"/>
          <w:b/>
          <w:bCs/>
          <w:color w:val="2E74B5"/>
          <w:sz w:val="24"/>
          <w:szCs w:val="24"/>
          <w:lang w:eastAsia="sl-SI"/>
        </w:rPr>
        <w:t>Clothes</w:t>
      </w:r>
      <w:proofErr w:type="spellEnd"/>
      <w:r w:rsidRPr="00C60CC7">
        <w:rPr>
          <w:rFonts w:ascii="Times New Roman" w:eastAsia="Times New Roman" w:hAnsi="Times New Roman" w:cs="Times New Roman"/>
          <w:b/>
          <w:bCs/>
          <w:color w:val="2E74B5"/>
          <w:sz w:val="24"/>
          <w:szCs w:val="24"/>
          <w:lang w:eastAsia="sl-SI"/>
        </w:rPr>
        <w:t>, ATU 1620]</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Slovenski šolski sistem ni kronično </w:t>
      </w:r>
      <w:proofErr w:type="spellStart"/>
      <w:r w:rsidRPr="00C60CC7">
        <w:rPr>
          <w:rFonts w:ascii="Times New Roman" w:eastAsia="Times New Roman" w:hAnsi="Times New Roman" w:cs="Times New Roman"/>
          <w:color w:val="222222"/>
          <w:sz w:val="27"/>
          <w:szCs w:val="27"/>
          <w:lang w:eastAsia="sl-SI"/>
        </w:rPr>
        <w:t>nereformiran</w:t>
      </w:r>
      <w:proofErr w:type="spellEnd"/>
      <w:r w:rsidRPr="00C60CC7">
        <w:rPr>
          <w:rFonts w:ascii="Times New Roman" w:eastAsia="Times New Roman" w:hAnsi="Times New Roman" w:cs="Times New Roman"/>
          <w:color w:val="222222"/>
          <w:sz w:val="27"/>
          <w:szCs w:val="27"/>
          <w:lang w:eastAsia="sl-SI"/>
        </w:rPr>
        <w:t xml:space="preserve">, temveč kronično reformiran in kronično </w:t>
      </w:r>
      <w:proofErr w:type="spellStart"/>
      <w:r w:rsidRPr="00C60CC7">
        <w:rPr>
          <w:rFonts w:ascii="Times New Roman" w:eastAsia="Times New Roman" w:hAnsi="Times New Roman" w:cs="Times New Roman"/>
          <w:color w:val="222222"/>
          <w:sz w:val="27"/>
          <w:szCs w:val="27"/>
          <w:lang w:eastAsia="sl-SI"/>
        </w:rPr>
        <w:t>neevalviran</w:t>
      </w:r>
      <w:proofErr w:type="spellEnd"/>
      <w:r w:rsidRPr="00C60CC7">
        <w:rPr>
          <w:rFonts w:ascii="Times New Roman" w:eastAsia="Times New Roman" w:hAnsi="Times New Roman" w:cs="Times New Roman"/>
          <w:color w:val="222222"/>
          <w:sz w:val="27"/>
          <w:szCs w:val="27"/>
          <w:lang w:eastAsia="sl-SI"/>
        </w:rPr>
        <w:t>: od 1869 do 2025 je bilo sprejetih več kot trideset učnih načrtov za slovenščino in nobeden ni bil evalviran, preden ga je nadomestil naslednji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2024a; 2026). To je tudi stanje ›cesarja‹, ki ga vsi vidijo ›</w:t>
      </w:r>
      <w:proofErr w:type="spellStart"/>
      <w:r w:rsidRPr="00C60CC7">
        <w:rPr>
          <w:rFonts w:ascii="Times New Roman" w:eastAsia="Times New Roman" w:hAnsi="Times New Roman" w:cs="Times New Roman"/>
          <w:color w:val="222222"/>
          <w:sz w:val="27"/>
          <w:szCs w:val="27"/>
          <w:lang w:eastAsia="sl-SI"/>
        </w:rPr>
        <w:t>neoblečenega</w:t>
      </w:r>
      <w:proofErr w:type="spellEnd"/>
      <w:r w:rsidRPr="00C60CC7">
        <w:rPr>
          <w:rFonts w:ascii="Times New Roman" w:eastAsia="Times New Roman" w:hAnsi="Times New Roman" w:cs="Times New Roman"/>
          <w:color w:val="222222"/>
          <w:sz w:val="27"/>
          <w:szCs w:val="27"/>
          <w:lang w:eastAsia="sl-SI"/>
        </w:rPr>
        <w:t>‹ in nihče ne izreče: kazalniki upada so javni, izjava pa jih ne analizira, temveč vzroke težav pripisuje ideološkim dejavnikom – "progresivni ideologiji, procesom, obrazcem, projektom" (Izjava 6) –, ne da bi za to navedla empirične dokaze; razlaga zato ostaja hipoteza, predstavljena kot diagnoza. Podatek, ki ga sistem ima, kaže drugam: v veljavnem učnem načrtu za tretje triletje "med 30 predlaganimi/obveznimi avtorji/deli ni niti ene avtorice"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2019, str. 14), besedi "knjiga" in "književnost" pa se v izjavi ne pojavita – odsotnost teh pojmov nakazuje, da književnost v besedilu ni prepoznana kot samostojna razvojna in </w:t>
      </w:r>
      <w:proofErr w:type="spellStart"/>
      <w:r w:rsidRPr="00C60CC7">
        <w:rPr>
          <w:rFonts w:ascii="Times New Roman" w:eastAsia="Times New Roman" w:hAnsi="Times New Roman" w:cs="Times New Roman"/>
          <w:color w:val="222222"/>
          <w:sz w:val="27"/>
          <w:szCs w:val="27"/>
          <w:lang w:eastAsia="sl-SI"/>
        </w:rPr>
        <w:t>kurikularna</w:t>
      </w:r>
      <w:proofErr w:type="spellEnd"/>
      <w:r w:rsidRPr="00C60CC7">
        <w:rPr>
          <w:rFonts w:ascii="Times New Roman" w:eastAsia="Times New Roman" w:hAnsi="Times New Roman" w:cs="Times New Roman"/>
          <w:color w:val="222222"/>
          <w:sz w:val="27"/>
          <w:szCs w:val="27"/>
          <w:lang w:eastAsia="sl-SI"/>
        </w:rPr>
        <w:t xml:space="preserve"> prioriteta.</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2. Kje so njegove največje stranpoti?</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Stranpoti niso tam, kjer jih išče izjava, temveč v mehanizmu, ki ga sama ponavlja, in prav to ponavljanje jih dela strukturne. Ko besedilo zavrne "še eno kozmetično prenovo" (Izjava 8) in v isti sapi razglasi, da je "politična odločitev o smeri sprejeta" (Izjava 58), ne prekine zanke reformiranja brez evalvacije, temveč jo zapre: razprava, ki jo napoveduje, je vnaprej ratifikacija. Iz te prve stranpoti izhaja druga, ker odločitev, sprejeta pred analizo, potrebuje krivca, in izjava ga najde v ideologiji – "ideološko nevtralna" šola (Izjava 32) eno ideologijo izžene in "domoljubno vzgojo" vpiše, kar ni odprava, temveč zamenjava predznaka; in ker reforma "bo sledila koalicijski pogodbi" (Izjava 8), bo predznak zamenjala vsaka naslednja koalicija. Tretja stranpot je posledica obeh: kdor ne ve, zakaj otroci berejo slabše, in že ve, kdo je kriv, lahko ponudi le strukturo – osemletko, opismenjevanje v prvem letu, tehnološki katalog –, ne pa odločitve, kaj naj otroci berejo. In kjer odločitve o branju ni, ostane deficitna paradigma: otrok priseljenec je "brez zadostnega znanja učnega jezika" (Izjava 53) izločen, čeprav je prav primerjalno </w:t>
      </w:r>
      <w:r w:rsidRPr="00C60CC7">
        <w:rPr>
          <w:rFonts w:ascii="Times New Roman" w:eastAsia="Times New Roman" w:hAnsi="Times New Roman" w:cs="Times New Roman"/>
          <w:color w:val="222222"/>
          <w:sz w:val="27"/>
          <w:szCs w:val="27"/>
          <w:lang w:eastAsia="sl-SI"/>
        </w:rPr>
        <w:lastRenderedPageBreak/>
        <w:t>branje v več jezikih pot do bralne kompetence, ki bi jo šola potrebovala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2020b).</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3. Kaj bi morali spremeniti najprej? In kaj pozneje? – </w:t>
      </w:r>
      <w:r w:rsidRPr="00C60CC7">
        <w:rPr>
          <w:rFonts w:ascii="Times New Roman" w:eastAsia="Times New Roman" w:hAnsi="Times New Roman" w:cs="Times New Roman"/>
          <w:b/>
          <w:bCs/>
          <w:i/>
          <w:iCs/>
          <w:color w:val="2E74B5"/>
          <w:sz w:val="24"/>
          <w:szCs w:val="24"/>
          <w:lang w:eastAsia="sl-SI"/>
        </w:rPr>
        <w:t>Trnuljčica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Sleeping</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Beauty</w:t>
      </w:r>
      <w:proofErr w:type="spellEnd"/>
      <w:r w:rsidRPr="00C60CC7">
        <w:rPr>
          <w:rFonts w:ascii="Times New Roman" w:eastAsia="Times New Roman" w:hAnsi="Times New Roman" w:cs="Times New Roman"/>
          <w:b/>
          <w:bCs/>
          <w:color w:val="2E74B5"/>
          <w:sz w:val="24"/>
          <w:szCs w:val="24"/>
          <w:lang w:eastAsia="sl-SI"/>
        </w:rPr>
        <w:t>, ATU 410]</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Najprej zbuditi evalvacijo, ki v izjavi ›spi‹: inštitut, ki naj bi "preverjal, kateri ukrepi delujejo" (Izjava 93), se ustanavlja po ukrepih in bo zato preverjal izvedbo, ne pa njihove utemeljenosti. Prvi korak je neodvisna evalvacija učnih načrtov 1998–2025, drugi vrnitev branja v diagnozo, ker izjava bralno pismenost omeji na "bralno tehniko, razumevanje, pisno izražanje in pravopis" (Izjava 50), PISA pa meri interpretacijo in vrednotenje, ki ju gradi leposlovje. Šele pozneje sodijo strukturna vprašanja, ki jih izjava postavlja v protislovnih parih – "Cehovstva bo konec" (Izjava 95) in "Ustanovili bomo tudi učiteljsko zbornico" (Izjava 43) –, ker bi jih reforma brez evalvacije podedovala kot naslednji vzrok.</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4. So bile napovedi preuranjene in naivne ali pozdravljate entuziazem in pripravljenost na konkretno delovanje?</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Ne eno ne drugo. Besedilo je </w:t>
      </w:r>
      <w:proofErr w:type="spellStart"/>
      <w:r w:rsidRPr="00C60CC7">
        <w:rPr>
          <w:rFonts w:ascii="Times New Roman" w:eastAsia="Times New Roman" w:hAnsi="Times New Roman" w:cs="Times New Roman"/>
          <w:color w:val="222222"/>
          <w:sz w:val="27"/>
          <w:szCs w:val="27"/>
          <w:lang w:eastAsia="sl-SI"/>
        </w:rPr>
        <w:t>performativ</w:t>
      </w:r>
      <w:proofErr w:type="spellEnd"/>
      <w:r w:rsidRPr="00C60CC7">
        <w:rPr>
          <w:rFonts w:ascii="Times New Roman" w:eastAsia="Times New Roman" w:hAnsi="Times New Roman" w:cs="Times New Roman"/>
          <w:color w:val="222222"/>
          <w:sz w:val="27"/>
          <w:szCs w:val="27"/>
          <w:lang w:eastAsia="sl-SI"/>
        </w:rPr>
        <w:t xml:space="preserve"> – "Zato danes napovedujem" (Izjava 8) –, ki ga je mogoče presojati le po tem, ali ima strukturo načrta; iz besedila pa ni razviden podrobneje izdelan izvedbeni načrt predlaganih ukrepov, saj prehodni model in programe "bomo pripravili premišljeno" (Izjava 58) šele po odločitvi. Merilo, ki ga izjava nalaga stroki – "Določite rezultate [...] In prevzemite odgovornost, če teh rezultatov ne bo" (Izjava 118) –, za ministrstvo ne velja: v besedilu je "mora" 44-krat naslovljen na druge, "bomo" 56-krat na ministrstvo – dolžnosti potujejo navzdol, pooblastila navzgor. Ista logika zadene otroka, opredeljenega kot pravni subjekt, ki mu morajo biti "odločitve [...] s posledicami" povezane (Izjava 39); ko je ministrstvo 1. 9. 2026 prvošolcem podarilo Ustavo (24ur, 2026), je vprašanje, ali bo naslednje darilo Kazenski zakonik, dosledna izpeljava besedila, ne polemika.</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5. Kje vidite največje pasti napovedanih reform?</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Največja past ni v nobenem posameznem ukrepu, temveč v tem, da izjava načelo, ki bi jo lahko zavezovalo, razglasi in v istem besedilu prekrši: "Uspešnosti sistema ne bomo več presojali po številu dokumentov, projektov in reform" (Izjava 10) – in nato deset izhodišč, zbornica, inštitut in "enotna nacionalna institucija" (Izjava 82), brez ene same navedene strokovne podlage ali merila. Kdor napoveduje več reform kot vsi predhodniki in obljublja, da jih ne bo štel, si je vzel edino merilo, po katerem bi ga bilo mogoče presoditi. Druga past raste iz prve: kjer ni merila, ni </w:t>
      </w:r>
      <w:r w:rsidRPr="00C60CC7">
        <w:rPr>
          <w:rFonts w:ascii="Times New Roman" w:eastAsia="Times New Roman" w:hAnsi="Times New Roman" w:cs="Times New Roman"/>
          <w:color w:val="222222"/>
          <w:sz w:val="27"/>
          <w:szCs w:val="27"/>
          <w:lang w:eastAsia="sl-SI"/>
        </w:rPr>
        <w:lastRenderedPageBreak/>
        <w:t>naslovnika odgovornosti, in izjava jo dosledno postavlja drugam – "varnost" zadeva učitelja in kibernetiko, "korist otroka" pa ni omenjena nikjer. Da je to razmerje med deklarativnimi in dejanskimi pravicami otrok strukturno, je pokazala predhodna raziskava učnega načrta 2011, ko je nacionalni dokument vseboval besedila avtorja s pravnomočno sodbo in javna uprava ni prevzela odgovornosti, ki ji jo nalagata Kazenski zakonik in Konvencija o otrokovih pravicah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2012). Prav zato je zgovorno, kje je izjava najbližje resnici: njena diagnoza, da institucije "ne morejo biti hkrati arhitekti sistema, njegovi nedolžni opazovalci in edini razsodniki" (Izjava 109), ima dokumentirano jedro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2012) – a zdravilo, ki ga ponudi, je večji monopol brez recenzije, torej podoben institucionalni problem v razširjeni organizacijski obliki. Past, ki iz tega sledi, je etična in ne le organizacijska: reforma, ki otroka opredeli z dolžnostmi, sama ne izreče najosnovnejše dolžnosti do njega – da osebe, pravnomočno obsojene zaradi kaznivih dejanj zoper spolno nedotakljivost otrok, in – po previdnostnem načelu, ki ga besedilo tu zagovarja kot normativno priporočilo, ne kot opis veljavnega pravnega stanja – tudi osebe v takem postopku do pravnomočnosti ne vstopajo v vzgojno-izobraževalni sistem, ne v </w:t>
      </w:r>
      <w:proofErr w:type="spellStart"/>
      <w:r w:rsidRPr="00C60CC7">
        <w:rPr>
          <w:rFonts w:ascii="Times New Roman" w:eastAsia="Times New Roman" w:hAnsi="Times New Roman" w:cs="Times New Roman"/>
          <w:color w:val="222222"/>
          <w:sz w:val="27"/>
          <w:szCs w:val="27"/>
          <w:lang w:eastAsia="sl-SI"/>
        </w:rPr>
        <w:t>kurikularno</w:t>
      </w:r>
      <w:proofErr w:type="spellEnd"/>
      <w:r w:rsidRPr="00C60CC7">
        <w:rPr>
          <w:rFonts w:ascii="Times New Roman" w:eastAsia="Times New Roman" w:hAnsi="Times New Roman" w:cs="Times New Roman"/>
          <w:color w:val="222222"/>
          <w:sz w:val="27"/>
          <w:szCs w:val="27"/>
          <w:lang w:eastAsia="sl-SI"/>
        </w:rPr>
        <w:t xml:space="preserve"> branje ne v javno financiranje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2011; 2012).</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6. Kakšno vlogo ima pri težavah šolstva izobraževanje in oblikovanje pedagoškega kadra?</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Osrednjo, a v izjavi je zajeta z metaforo, ne z argumentom: "Cehovstva bo konec" (Izjava 95). Zagotovilo "Pogojev za učiteljski poklic ne bomo znižali. Odprli bomo več poti do istega visokega standarda" (Izjava 97) je protislovno, ker krajša pot – "</w:t>
      </w:r>
      <w:proofErr w:type="spellStart"/>
      <w:r w:rsidRPr="00C60CC7">
        <w:rPr>
          <w:rFonts w:ascii="Times New Roman" w:eastAsia="Times New Roman" w:hAnsi="Times New Roman" w:cs="Times New Roman"/>
          <w:color w:val="222222"/>
          <w:sz w:val="27"/>
          <w:szCs w:val="27"/>
          <w:lang w:eastAsia="sl-SI"/>
        </w:rPr>
        <w:t>mikrodokazila</w:t>
      </w:r>
      <w:proofErr w:type="spellEnd"/>
      <w:r w:rsidRPr="00C60CC7">
        <w:rPr>
          <w:rFonts w:ascii="Times New Roman" w:eastAsia="Times New Roman" w:hAnsi="Times New Roman" w:cs="Times New Roman"/>
          <w:color w:val="222222"/>
          <w:sz w:val="27"/>
          <w:szCs w:val="27"/>
          <w:lang w:eastAsia="sl-SI"/>
        </w:rPr>
        <w:t>" – spremeni standard sam, pedagoško znanje pa razglasi za dodatek k stroki. Ukrep meri na naravoslovje in tuje jezike, za bralno pismenost, ki jo izjava imenuje prvo, ni predviden noben. Bralna pismenost je v izjavi zožena na "začetno opismenjevanje" (Izjava 50), učiteljski poklic pa na "</w:t>
      </w:r>
      <w:proofErr w:type="spellStart"/>
      <w:r w:rsidRPr="00C60CC7">
        <w:rPr>
          <w:rFonts w:ascii="Times New Roman" w:eastAsia="Times New Roman" w:hAnsi="Times New Roman" w:cs="Times New Roman"/>
          <w:color w:val="222222"/>
          <w:sz w:val="27"/>
          <w:szCs w:val="27"/>
          <w:lang w:eastAsia="sl-SI"/>
        </w:rPr>
        <w:t>mikrodokazila</w:t>
      </w:r>
      <w:proofErr w:type="spellEnd"/>
      <w:r w:rsidRPr="00C60CC7">
        <w:rPr>
          <w:rFonts w:ascii="Times New Roman" w:eastAsia="Times New Roman" w:hAnsi="Times New Roman" w:cs="Times New Roman"/>
          <w:color w:val="222222"/>
          <w:sz w:val="27"/>
          <w:szCs w:val="27"/>
          <w:lang w:eastAsia="sl-SI"/>
        </w:rPr>
        <w:t xml:space="preserve">" (Izjava 97) – na vzorec priučenosti namesto </w:t>
      </w:r>
      <w:proofErr w:type="spellStart"/>
      <w:r w:rsidRPr="00C60CC7">
        <w:rPr>
          <w:rFonts w:ascii="Times New Roman" w:eastAsia="Times New Roman" w:hAnsi="Times New Roman" w:cs="Times New Roman"/>
          <w:color w:val="222222"/>
          <w:sz w:val="27"/>
          <w:szCs w:val="27"/>
          <w:lang w:eastAsia="sl-SI"/>
        </w:rPr>
        <w:t>izučenosti</w:t>
      </w:r>
      <w:proofErr w:type="spellEnd"/>
      <w:r w:rsidRPr="00C60CC7">
        <w:rPr>
          <w:rFonts w:ascii="Times New Roman" w:eastAsia="Times New Roman" w:hAnsi="Times New Roman" w:cs="Times New Roman"/>
          <w:color w:val="222222"/>
          <w:sz w:val="27"/>
          <w:szCs w:val="27"/>
          <w:lang w:eastAsia="sl-SI"/>
        </w:rPr>
        <w:t xml:space="preserve">; razlika ni pedantna, ker priučeni dekodira, izučeni pa interpretira, in bralna pismenost, ki jo meri PISA, je druga, ne prva. Ljudska pravljica o ›Mojci </w:t>
      </w:r>
      <w:proofErr w:type="spellStart"/>
      <w:r w:rsidRPr="00C60CC7">
        <w:rPr>
          <w:rFonts w:ascii="Times New Roman" w:eastAsia="Times New Roman" w:hAnsi="Times New Roman" w:cs="Times New Roman"/>
          <w:color w:val="222222"/>
          <w:sz w:val="27"/>
          <w:szCs w:val="27"/>
          <w:lang w:eastAsia="sl-SI"/>
        </w:rPr>
        <w:t>Pokrajculji</w:t>
      </w:r>
      <w:proofErr w:type="spellEnd"/>
      <w:r w:rsidRPr="00C60CC7">
        <w:rPr>
          <w:rFonts w:ascii="Times New Roman" w:eastAsia="Times New Roman" w:hAnsi="Times New Roman" w:cs="Times New Roman"/>
          <w:color w:val="222222"/>
          <w:sz w:val="27"/>
          <w:szCs w:val="27"/>
          <w:lang w:eastAsia="sl-SI"/>
        </w:rPr>
        <w:t>‹ to razmerje ponazori: v lončku se stisne vsakdo, ki pride mimo, a lonček zato ni hiša. Samokritika je utemeljena: izobraževanje učiteljev je književnost krčilo v korist kompetenčnih vsebin; odgovor pa ni pot mimo fakultet, temveč skozi književnost. Raziskave o učiteljih kot bralnih vzorih to potrjujejo: "le vzgojitelj/učitelj – bralec lahko kakovostno spodbuja otroke in učence k branju" (</w:t>
      </w:r>
      <w:proofErr w:type="spellStart"/>
      <w:r w:rsidRPr="00C60CC7">
        <w:rPr>
          <w:rFonts w:ascii="Times New Roman" w:eastAsia="Times New Roman" w:hAnsi="Times New Roman" w:cs="Times New Roman"/>
          <w:color w:val="222222"/>
          <w:sz w:val="27"/>
          <w:szCs w:val="27"/>
          <w:lang w:eastAsia="sl-SI"/>
        </w:rPr>
        <w:t>Haramija</w:t>
      </w:r>
      <w:proofErr w:type="spellEnd"/>
      <w:r w:rsidRPr="00C60CC7">
        <w:rPr>
          <w:rFonts w:ascii="Times New Roman" w:eastAsia="Times New Roman" w:hAnsi="Times New Roman" w:cs="Times New Roman"/>
          <w:color w:val="222222"/>
          <w:sz w:val="27"/>
          <w:szCs w:val="27"/>
          <w:lang w:eastAsia="sl-SI"/>
        </w:rPr>
        <w:t>, 2018, str. 13), bralne navade strokovnih delavcev pa so bile v projektu Bralni vzori prepoznane kot ključni dejavnik bralne kulture otrok (</w:t>
      </w:r>
      <w:proofErr w:type="spellStart"/>
      <w:r w:rsidRPr="00C60CC7">
        <w:rPr>
          <w:rFonts w:ascii="Times New Roman" w:eastAsia="Times New Roman" w:hAnsi="Times New Roman" w:cs="Times New Roman"/>
          <w:color w:val="222222"/>
          <w:sz w:val="27"/>
          <w:szCs w:val="27"/>
          <w:lang w:eastAsia="sl-SI"/>
        </w:rPr>
        <w:t>Haramija</w:t>
      </w:r>
      <w:proofErr w:type="spellEnd"/>
      <w:r w:rsidRPr="00C60CC7">
        <w:rPr>
          <w:rFonts w:ascii="Times New Roman" w:eastAsia="Times New Roman" w:hAnsi="Times New Roman" w:cs="Times New Roman"/>
          <w:color w:val="222222"/>
          <w:sz w:val="27"/>
          <w:szCs w:val="27"/>
          <w:lang w:eastAsia="sl-SI"/>
        </w:rPr>
        <w:t xml:space="preserve"> idr., 2025).</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lastRenderedPageBreak/>
        <w:t>7. So slovenski učitelji pripravljeni na spremembe? Si jih želijo? – </w:t>
      </w:r>
      <w:r w:rsidRPr="00C60CC7">
        <w:rPr>
          <w:rFonts w:ascii="Times New Roman" w:eastAsia="Times New Roman" w:hAnsi="Times New Roman" w:cs="Times New Roman"/>
          <w:b/>
          <w:bCs/>
          <w:i/>
          <w:iCs/>
          <w:color w:val="2E74B5"/>
          <w:sz w:val="24"/>
          <w:szCs w:val="24"/>
          <w:lang w:eastAsia="sl-SI"/>
        </w:rPr>
        <w:t>Deklica z vžigalicami</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The</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Little</w:t>
      </w:r>
      <w:proofErr w:type="spellEnd"/>
      <w:r w:rsidRPr="00C60CC7">
        <w:rPr>
          <w:rFonts w:ascii="Times New Roman" w:eastAsia="Times New Roman" w:hAnsi="Times New Roman" w:cs="Times New Roman"/>
          <w:b/>
          <w:bCs/>
          <w:color w:val="2E74B5"/>
          <w:sz w:val="24"/>
          <w:szCs w:val="24"/>
          <w:lang w:eastAsia="sl-SI"/>
        </w:rPr>
        <w:t xml:space="preserve"> Match </w:t>
      </w:r>
      <w:proofErr w:type="spellStart"/>
      <w:r w:rsidRPr="00C60CC7">
        <w:rPr>
          <w:rFonts w:ascii="Times New Roman" w:eastAsia="Times New Roman" w:hAnsi="Times New Roman" w:cs="Times New Roman"/>
          <w:b/>
          <w:bCs/>
          <w:color w:val="2E74B5"/>
          <w:sz w:val="24"/>
          <w:szCs w:val="24"/>
          <w:lang w:eastAsia="sl-SI"/>
        </w:rPr>
        <w:t>Girl</w:t>
      </w:r>
      <w:proofErr w:type="spellEnd"/>
      <w:r w:rsidRPr="00C60CC7">
        <w:rPr>
          <w:rFonts w:ascii="Times New Roman" w:eastAsia="Times New Roman" w:hAnsi="Times New Roman" w:cs="Times New Roman"/>
          <w:b/>
          <w:bCs/>
          <w:color w:val="2E74B5"/>
          <w:sz w:val="24"/>
          <w:szCs w:val="24"/>
          <w:lang w:eastAsia="sl-SI"/>
        </w:rPr>
        <w:t>, Andersen, 1845]</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Pripravljenost učiteljev je ›vžigalica‹, ki jo vsaka prenova prižge in izčrpa: kdor je začel po učnem načrtu 1998, je doživel prenove 2008, 2011, 2018 in 2025, zdaj pa napoved šeste. Izjava ga ne vpraša, temveč govori namesto njega – "Slovenski učitelji in </w:t>
      </w:r>
      <w:proofErr w:type="spellStart"/>
      <w:r w:rsidRPr="00C60CC7">
        <w:rPr>
          <w:rFonts w:ascii="Times New Roman" w:eastAsia="Times New Roman" w:hAnsi="Times New Roman" w:cs="Times New Roman"/>
          <w:color w:val="222222"/>
          <w:sz w:val="27"/>
          <w:szCs w:val="27"/>
          <w:lang w:eastAsia="sl-SI"/>
        </w:rPr>
        <w:t>razvnatelji</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sic</w:t>
      </w:r>
      <w:proofErr w:type="spellEnd"/>
      <w:r w:rsidRPr="00C60CC7">
        <w:rPr>
          <w:rFonts w:ascii="Times New Roman" w:eastAsia="Times New Roman" w:hAnsi="Times New Roman" w:cs="Times New Roman"/>
          <w:color w:val="222222"/>
          <w:sz w:val="27"/>
          <w:szCs w:val="27"/>
          <w:lang w:eastAsia="sl-SI"/>
        </w:rPr>
        <w:t xml:space="preserve"> v izvirniku] niso problem" (Izjava 120) – in ga postavi v vlogo predmeta: "Učitelja nismo zaposlili zato, da izpolnjuje obrazce" (Izjava 45); avtoriteta, ki mu jo "bomo vrnili", je podeljena, ker "mora vedeti, da [...] za njim stojijo ravnatelj, šola in država" (Izjava 40). Pravo vprašanje ni, ali si učitelji želijo sprememb, temveč katera reforma bi trajala dovolj dolgo, da bi bila evalvirana.</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8. Kdo sploh je »pedagoška stroka«? Včasih je slišati očitke iz terena, da nima stika z realnim stanjem v razredih.</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Stroka je postopek javne, preverljive argumentacije, ne telo. Izjava vzpostavlja razlikovanje med stroko, ki bo vključena, ker "stroka ni ena institucija, ena fakulteta, en inštitut" (Izjava 107), in t. i. "pedagoškim </w:t>
      </w:r>
      <w:proofErr w:type="spellStart"/>
      <w:r w:rsidRPr="00C60CC7">
        <w:rPr>
          <w:rFonts w:ascii="Times New Roman" w:eastAsia="Times New Roman" w:hAnsi="Times New Roman" w:cs="Times New Roman"/>
          <w:color w:val="222222"/>
          <w:sz w:val="27"/>
          <w:szCs w:val="27"/>
          <w:lang w:eastAsia="sl-SI"/>
        </w:rPr>
        <w:t>establišmentom</w:t>
      </w:r>
      <w:proofErr w:type="spellEnd"/>
      <w:r w:rsidRPr="00C60CC7">
        <w:rPr>
          <w:rFonts w:ascii="Times New Roman" w:eastAsia="Times New Roman" w:hAnsi="Times New Roman" w:cs="Times New Roman"/>
          <w:color w:val="222222"/>
          <w:sz w:val="27"/>
          <w:szCs w:val="27"/>
          <w:lang w:eastAsia="sl-SI"/>
        </w:rPr>
        <w:t xml:space="preserve">, ki je </w:t>
      </w:r>
      <w:proofErr w:type="spellStart"/>
      <w:r w:rsidRPr="00C60CC7">
        <w:rPr>
          <w:rFonts w:ascii="Times New Roman" w:eastAsia="Times New Roman" w:hAnsi="Times New Roman" w:cs="Times New Roman"/>
          <w:color w:val="222222"/>
          <w:sz w:val="27"/>
          <w:szCs w:val="27"/>
          <w:lang w:eastAsia="sl-SI"/>
        </w:rPr>
        <w:t>prišeljal</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sic</w:t>
      </w:r>
      <w:proofErr w:type="spellEnd"/>
      <w:r w:rsidRPr="00C60CC7">
        <w:rPr>
          <w:rFonts w:ascii="Times New Roman" w:eastAsia="Times New Roman" w:hAnsi="Times New Roman" w:cs="Times New Roman"/>
          <w:color w:val="222222"/>
          <w:sz w:val="27"/>
          <w:szCs w:val="27"/>
          <w:lang w:eastAsia="sl-SI"/>
        </w:rPr>
        <w:t xml:space="preserve"> v izvirniku] do te nacionalne katastrofe" (Izjava 105); merila za to razlikovanje ostajajo nepojasnjena, zato opredelitev deluje krožno. Očitek o stiku z razredom velja v obe smeri: besedilo je napisano v jeziku trga in obrambe – "račun", "monopol", "obrambni zid" –, ne razreda, in v njem "ministrstvo bo določalo </w:t>
      </w:r>
      <w:proofErr w:type="spellStart"/>
      <w:r w:rsidRPr="00C60CC7">
        <w:rPr>
          <w:rFonts w:ascii="Times New Roman" w:eastAsia="Times New Roman" w:hAnsi="Times New Roman" w:cs="Times New Roman"/>
          <w:color w:val="222222"/>
          <w:sz w:val="27"/>
          <w:szCs w:val="27"/>
          <w:lang w:eastAsia="sl-SI"/>
        </w:rPr>
        <w:t>javnopolitična</w:t>
      </w:r>
      <w:proofErr w:type="spellEnd"/>
      <w:r w:rsidRPr="00C60CC7">
        <w:rPr>
          <w:rFonts w:ascii="Times New Roman" w:eastAsia="Times New Roman" w:hAnsi="Times New Roman" w:cs="Times New Roman"/>
          <w:color w:val="222222"/>
          <w:sz w:val="27"/>
          <w:szCs w:val="27"/>
          <w:lang w:eastAsia="sl-SI"/>
        </w:rPr>
        <w:t xml:space="preserve"> vprašanja, ne pa raziskovalnih ugotovitev. Te ugotovitve bomo uporabljali" (Izjava 94). Stik z razredom ima po merilu literarne vede tisti, ki bere, kar se v razredu bere.</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9. Kaj priporočate odločevalcem – kako prenovo zastaviti celostno?</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Celostna prenova se ne razlikuje od delne po številu ukrepov, temveč po zaporedju, in zaporedje, ki ga izjava ponuja, je obrnjeno. Če odločitev sledi evalvaciji, jo je mogoče popraviti; če evalvacija sledi odločitvi, kakor tu, lahko le potrdi, kar je bilo že sklenjeno. Odločevalcem zato priporočam najprej to obračanje – evalvacijo učnih načrtov 1998–2025 pred vsako strukturno odločitvijo – in potem, kar iz njega sledi: anonimno recenzijo nacionalnih dokumentov, ki izključuje konflikt interesov, ker so bili avtorji nacionalnih dokumentov doslej hkrati tudi njihovi recenzenti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2019, str. 15); časovni horizont, daljši od mandata, ker otrok ostane v sistemu dvanajst let, reforma pa "bo sledila koalicijski pogodbi" (Izjava 8) in bo torej trajala toliko kot koalicija; ter eno samo pravno zavezujoče merilo, največjo korist otroka, namesto sedmih vrednot brez kazalnika, ki jih izjava sklene z "zdravo pametjo" (Izjava 128). Šele v tako urejenem zaporedju dobi branje mesto prvega vsebinskega ukrepa in ne zadnje omembe. In ker reforma nastopa kot </w:t>
      </w:r>
      <w:r w:rsidRPr="00C60CC7">
        <w:rPr>
          <w:rFonts w:ascii="Times New Roman" w:eastAsia="Times New Roman" w:hAnsi="Times New Roman" w:cs="Times New Roman"/>
          <w:color w:val="222222"/>
          <w:sz w:val="27"/>
          <w:szCs w:val="27"/>
          <w:lang w:eastAsia="sl-SI"/>
        </w:rPr>
        <w:lastRenderedPageBreak/>
        <w:t>besedilo, naj odločevalci zahtevajo tudi, kar zahtevajo od maturantov: knjižni jezik, ki enakosti ne "zabriše ven iz sistema" (Izjava 11), temveč jo argumentira.</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10. V intervjuju ste omenili, da ste analizirali vse učne načrte od 1869 do 2024. Kaj ste ugotovili? – </w:t>
      </w:r>
      <w:r w:rsidRPr="00C60CC7">
        <w:rPr>
          <w:rFonts w:ascii="Times New Roman" w:eastAsia="Times New Roman" w:hAnsi="Times New Roman" w:cs="Times New Roman"/>
          <w:b/>
          <w:bCs/>
          <w:i/>
          <w:iCs/>
          <w:color w:val="2E74B5"/>
          <w:sz w:val="24"/>
          <w:szCs w:val="24"/>
          <w:lang w:eastAsia="sl-SI"/>
        </w:rPr>
        <w:t>Pepelka</w:t>
      </w:r>
      <w:r w:rsidRPr="00C60CC7">
        <w:rPr>
          <w:rFonts w:ascii="Times New Roman" w:eastAsia="Times New Roman" w:hAnsi="Times New Roman" w:cs="Times New Roman"/>
          <w:b/>
          <w:bCs/>
          <w:color w:val="2E74B5"/>
          <w:sz w:val="24"/>
          <w:szCs w:val="24"/>
          <w:lang w:eastAsia="sl-SI"/>
        </w:rPr>
        <w:t>[</w:t>
      </w:r>
      <w:proofErr w:type="spellStart"/>
      <w:r w:rsidRPr="00C60CC7">
        <w:rPr>
          <w:rFonts w:ascii="Times New Roman" w:eastAsia="Times New Roman" w:hAnsi="Times New Roman" w:cs="Times New Roman"/>
          <w:b/>
          <w:bCs/>
          <w:color w:val="2E74B5"/>
          <w:sz w:val="24"/>
          <w:szCs w:val="24"/>
          <w:lang w:eastAsia="sl-SI"/>
        </w:rPr>
        <w:t>Cinderella</w:t>
      </w:r>
      <w:proofErr w:type="spellEnd"/>
      <w:r w:rsidRPr="00C60CC7">
        <w:rPr>
          <w:rFonts w:ascii="Times New Roman" w:eastAsia="Times New Roman" w:hAnsi="Times New Roman" w:cs="Times New Roman"/>
          <w:b/>
          <w:bCs/>
          <w:color w:val="2E74B5"/>
          <w:sz w:val="24"/>
          <w:szCs w:val="24"/>
          <w:lang w:eastAsia="sl-SI"/>
        </w:rPr>
        <w:t>, ATU 510A]</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Da je kanon ›ples‹, na katerega vabi vsak režim s svojim seznamom, avtorice pa ›čakajo pred vrati‹. Učni načrti od 1869 do 2025 so politična, ne literarna zgodovina: do 1918 brez avtorjev, nato prepisani ob vsaki menjavi režima, nikoli evalvirani, vedno aditivni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2024a; 2024b; 2026). V učnem načrtu 2011 je avtoric 22 %, ljudskega slovstva 2 %, neslovenske književnosti 5 %; Makarovič, ki je imela leta 1984 celo poglavje, ni več med obveznimi; predlog 2015 je razmerja še poslabšal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2019, str. 13–15). Slovenija nima splošno sprejetega nacionalnega kanona, temveč vsakokratni državni seznam; obljuba "manj obsežnih učnih načrtov" (Izjava 12) brez kanona pomeni trinajsti seznam.</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11. Slovenski petnajstletniki so v PISA 2025 dosegli najslabše rezultate doslej. Kaj nam to pove o šoli in kakšno vlogo ima izbor šolske in mladinske literature? – </w:t>
      </w:r>
      <w:r w:rsidRPr="00C60CC7">
        <w:rPr>
          <w:rFonts w:ascii="Times New Roman" w:eastAsia="Times New Roman" w:hAnsi="Times New Roman" w:cs="Times New Roman"/>
          <w:b/>
          <w:bCs/>
          <w:i/>
          <w:iCs/>
          <w:color w:val="2E74B5"/>
          <w:sz w:val="24"/>
          <w:szCs w:val="24"/>
          <w:lang w:eastAsia="sl-SI"/>
        </w:rPr>
        <w:t>Sneguljčica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Snow</w:t>
      </w:r>
      <w:proofErr w:type="spellEnd"/>
      <w:r w:rsidRPr="00C60CC7">
        <w:rPr>
          <w:rFonts w:ascii="Times New Roman" w:eastAsia="Times New Roman" w:hAnsi="Times New Roman" w:cs="Times New Roman"/>
          <w:b/>
          <w:bCs/>
          <w:color w:val="2E74B5"/>
          <w:sz w:val="24"/>
          <w:szCs w:val="24"/>
          <w:lang w:eastAsia="sl-SI"/>
        </w:rPr>
        <w:t xml:space="preserve"> White, ATU 709]</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Rezultati povedo, kar pove ›ogledalo‹: kdo bere najslabše, ne pa, kaj je bral – in ta drugi podatek je edini, ki ga lahko spremeni šola. Izjava ogledalo spremeni v obsodbo in bralno pismenost razume kot tehniko (Izjava 50), zato ostaja odprto vprašanje, v kolikšni meri je to razumevanje skladno s </w:t>
      </w:r>
      <w:proofErr w:type="spellStart"/>
      <w:r w:rsidRPr="00C60CC7">
        <w:rPr>
          <w:rFonts w:ascii="Times New Roman" w:eastAsia="Times New Roman" w:hAnsi="Times New Roman" w:cs="Times New Roman"/>
          <w:color w:val="222222"/>
          <w:sz w:val="27"/>
          <w:szCs w:val="27"/>
          <w:lang w:eastAsia="sl-SI"/>
        </w:rPr>
        <w:t>konceptualizacijo</w:t>
      </w:r>
      <w:proofErr w:type="spellEnd"/>
      <w:r w:rsidRPr="00C60CC7">
        <w:rPr>
          <w:rFonts w:ascii="Times New Roman" w:eastAsia="Times New Roman" w:hAnsi="Times New Roman" w:cs="Times New Roman"/>
          <w:color w:val="222222"/>
          <w:sz w:val="27"/>
          <w:szCs w:val="27"/>
          <w:lang w:eastAsia="sl-SI"/>
        </w:rPr>
        <w:t xml:space="preserve"> bralne pismenosti v raziskavi PISA; PISA pa meri interpretacijo in refleksijo – zmožnosti, ki jih literarna veda povezuje z bralnimi praksami, zlasti z branjem leposlovja, ki edino sistematično zahteva razumevanje neizrečenega; bralna pismenost je primarno naloga slovenščine kot jezika in književnosti, hkrati pa vseh predmetov, izjava pa je ne pripiše nobenemu. Obvezni kanon brez avtoric in svetovne književnosti nastaja brez recenzije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2019), Zlate hruške ga ne nadomeščajo, ker izbor nastaja brez javnih meril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2018; 2020a), institucionalni odnos do kanona pa kaže znake sistematičnega nebranja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2025). Merjena je sposobnost, ki je šola ne razvija; ministrov odgovor – osemletka in "umetna inteligenca" (Izjava 63) – ne omenja ene same knjige.</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12. Če bi danes na novo sestavili učni načrt za slovenščino – kaj bi odstranili in kaj nujno ohranili? – </w:t>
      </w:r>
      <w:r w:rsidRPr="00C60CC7">
        <w:rPr>
          <w:rFonts w:ascii="Times New Roman" w:eastAsia="Times New Roman" w:hAnsi="Times New Roman" w:cs="Times New Roman"/>
          <w:b/>
          <w:bCs/>
          <w:i/>
          <w:iCs/>
          <w:color w:val="2E74B5"/>
          <w:sz w:val="24"/>
          <w:szCs w:val="24"/>
          <w:lang w:eastAsia="sl-SI"/>
        </w:rPr>
        <w:t>Snežna kraljica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The</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Snow</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Queen</w:t>
      </w:r>
      <w:proofErr w:type="spellEnd"/>
      <w:r w:rsidRPr="00C60CC7">
        <w:rPr>
          <w:rFonts w:ascii="Times New Roman" w:eastAsia="Times New Roman" w:hAnsi="Times New Roman" w:cs="Times New Roman"/>
          <w:b/>
          <w:bCs/>
          <w:color w:val="2E74B5"/>
          <w:sz w:val="24"/>
          <w:szCs w:val="24"/>
          <w:lang w:eastAsia="sl-SI"/>
        </w:rPr>
        <w:t>, Andersen, 1844]</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Odstranila bi oba drobca zrcala, ki ga je izdelal ›coprniški zlodej‹ (prev. S. Orel Kos), ne avtorjev. Drobec ›v očesu‹ je metoda, ki popači videnje: komisija, v kateri "prevladujejo slovenisti, celo slavisti"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2019, str. 15), brez recenzije in </w:t>
      </w:r>
      <w:r w:rsidRPr="00C60CC7">
        <w:rPr>
          <w:rFonts w:ascii="Times New Roman" w:eastAsia="Times New Roman" w:hAnsi="Times New Roman" w:cs="Times New Roman"/>
          <w:color w:val="222222"/>
          <w:sz w:val="27"/>
          <w:szCs w:val="27"/>
          <w:lang w:eastAsia="sl-SI"/>
        </w:rPr>
        <w:lastRenderedPageBreak/>
        <w:t>vertikale, načelo akumulacije in napake, ki jih seznam ponavlja iz izdaje v izdajo (str. 14–15). Drobec ›v srcu‹ je brezbrižnost, ki seznam ohladi: isti postopek, ki je iz učnega načrta 2018/2019 brez utemeljitve izločil </w:t>
      </w:r>
      <w:r w:rsidRPr="00C60CC7">
        <w:rPr>
          <w:rFonts w:ascii="Times New Roman" w:eastAsia="Times New Roman" w:hAnsi="Times New Roman" w:cs="Times New Roman"/>
          <w:i/>
          <w:iCs/>
          <w:color w:val="222222"/>
          <w:sz w:val="27"/>
          <w:szCs w:val="27"/>
          <w:lang w:eastAsia="sl-SI"/>
        </w:rPr>
        <w:t>Dnevnik Ane Frank</w:t>
      </w:r>
      <w:r w:rsidRPr="00C60CC7">
        <w:rPr>
          <w:rFonts w:ascii="Times New Roman" w:eastAsia="Times New Roman" w:hAnsi="Times New Roman" w:cs="Times New Roman"/>
          <w:color w:val="222222"/>
          <w:sz w:val="27"/>
          <w:szCs w:val="27"/>
          <w:lang w:eastAsia="sl-SI"/>
        </w:rPr>
        <w:t>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2022), je v učnem načrtu 2011 obdržal besedila avtorja s pravnomočno sodbo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2012) – odstranjeno je bilo zaradi občutljivosti, ki je ni, obdržano zaradi neobčutljivosti, ki je. Ohranila bi to, kar drobca prikrivata: kanon kot vertikalo "kanonski / predlagani / izbirni" (str. 16), mednarodni kontekst po načelu "manj je več" (str. 14) z nagradami Nobel, Andersen in ALMA (str. 17) ter ljudsko slovstvo in avtorice kot obvezni del. "Razbremenitev" (Izjava 12) brez kanona je le krajši seznam; ›</w:t>
      </w:r>
      <w:proofErr w:type="spellStart"/>
      <w:r w:rsidRPr="00C60CC7">
        <w:rPr>
          <w:rFonts w:ascii="Times New Roman" w:eastAsia="Times New Roman" w:hAnsi="Times New Roman" w:cs="Times New Roman"/>
          <w:color w:val="222222"/>
          <w:sz w:val="27"/>
          <w:szCs w:val="27"/>
          <w:lang w:eastAsia="sl-SI"/>
        </w:rPr>
        <w:t>Gerda</w:t>
      </w:r>
      <w:proofErr w:type="spellEnd"/>
      <w:r w:rsidRPr="00C60CC7">
        <w:rPr>
          <w:rFonts w:ascii="Times New Roman" w:eastAsia="Times New Roman" w:hAnsi="Times New Roman" w:cs="Times New Roman"/>
          <w:color w:val="222222"/>
          <w:sz w:val="27"/>
          <w:szCs w:val="27"/>
          <w:lang w:eastAsia="sl-SI"/>
        </w:rPr>
        <w:t>‹ ni odstranila ›Kaja‹, temveč drobca.</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13. Predlagali ste nacionalni in mednarodni literarni kanon, ki bi povezoval vse stopnje izobraževanja. Lahko poveste več? – </w:t>
      </w:r>
      <w:r w:rsidRPr="00C60CC7">
        <w:rPr>
          <w:rFonts w:ascii="Times New Roman" w:eastAsia="Times New Roman" w:hAnsi="Times New Roman" w:cs="Times New Roman"/>
          <w:b/>
          <w:bCs/>
          <w:i/>
          <w:iCs/>
          <w:color w:val="2E74B5"/>
          <w:sz w:val="24"/>
          <w:szCs w:val="24"/>
          <w:lang w:eastAsia="sl-SI"/>
        </w:rPr>
        <w:t>Kraljična na zrnu graha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The</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Princess</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and</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the</w:t>
      </w:r>
      <w:proofErr w:type="spellEnd"/>
      <w:r w:rsidRPr="00C60CC7">
        <w:rPr>
          <w:rFonts w:ascii="Times New Roman" w:eastAsia="Times New Roman" w:hAnsi="Times New Roman" w:cs="Times New Roman"/>
          <w:b/>
          <w:bCs/>
          <w:color w:val="2E74B5"/>
          <w:sz w:val="24"/>
          <w:szCs w:val="24"/>
          <w:lang w:eastAsia="sl-SI"/>
        </w:rPr>
        <w:t xml:space="preserve"> </w:t>
      </w:r>
      <w:proofErr w:type="spellStart"/>
      <w:r w:rsidRPr="00C60CC7">
        <w:rPr>
          <w:rFonts w:ascii="Times New Roman" w:eastAsia="Times New Roman" w:hAnsi="Times New Roman" w:cs="Times New Roman"/>
          <w:b/>
          <w:bCs/>
          <w:color w:val="2E74B5"/>
          <w:sz w:val="24"/>
          <w:szCs w:val="24"/>
          <w:lang w:eastAsia="sl-SI"/>
        </w:rPr>
        <w:t>Pea</w:t>
      </w:r>
      <w:proofErr w:type="spellEnd"/>
      <w:r w:rsidRPr="00C60CC7">
        <w:rPr>
          <w:rFonts w:ascii="Times New Roman" w:eastAsia="Times New Roman" w:hAnsi="Times New Roman" w:cs="Times New Roman"/>
          <w:b/>
          <w:bCs/>
          <w:color w:val="2E74B5"/>
          <w:sz w:val="24"/>
          <w:szCs w:val="24"/>
          <w:lang w:eastAsia="sl-SI"/>
        </w:rPr>
        <w:t>, ATU 704]</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Kanon je ›zrno‹, ki ga učenec občuti skozi vse stopnje šolanja – če je pod dvanajstimi ›žimnicami‹ učnih načrtov sploh kaj. Zdaj obstajajo trije nepovezani seznami (vrtec 1999, osnovna šola 2011/2025, gimnazija 2008), ki premalo upoštevajo dejstvo, da je Slovenija od leta 2004 članica Evropske unije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2019, str. 11–12). Predlagani kanon združuje vertikalo, dvojnost nacionalnega in mednarodnega ter odprtost do sodobnih predelav (str. 16–17) in je kot mehanizem kulturnega spomina (Juvan, 2005, nav. po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2019, str. 18) zavezujoč tudi za ministrstvo – spremenljiv z utemeljitvijo, ne z okrožnico. Izjava zahteva, da "mladi morajo dobro poznati slovenski jezik, zgodovino in kulturo" (Izjava 28), a ne imenuje nobenega besedila, in prav ta odsotnost razkrije, kaj domoljubna vzgoja v besedilu je: koncept ni vsebinsko operacionaliziran, zato ostaja na deklarativni ravni, ki po svoji strukturi pripada 19. stoletju – simbol, ki se ga da razglasiti, ne vsebina, ki bi jo bilo treba izbrati in utemeljiti. Domoljubje, ki ga otrok lahko dejansko ponotranji, ni zastava ob Ustavi, temveč besedilo, ki ga bere: Trubarjev nagovor "lubi Slovenci", Prešernova </w:t>
      </w:r>
      <w:r w:rsidRPr="00C60CC7">
        <w:rPr>
          <w:rFonts w:ascii="Times New Roman" w:eastAsia="Times New Roman" w:hAnsi="Times New Roman" w:cs="Times New Roman"/>
          <w:i/>
          <w:iCs/>
          <w:color w:val="222222"/>
          <w:sz w:val="27"/>
          <w:szCs w:val="27"/>
          <w:lang w:eastAsia="sl-SI"/>
        </w:rPr>
        <w:t>Zdravljica</w:t>
      </w:r>
      <w:r w:rsidRPr="00C60CC7">
        <w:rPr>
          <w:rFonts w:ascii="Times New Roman" w:eastAsia="Times New Roman" w:hAnsi="Times New Roman" w:cs="Times New Roman"/>
          <w:color w:val="222222"/>
          <w:sz w:val="27"/>
          <w:szCs w:val="27"/>
          <w:lang w:eastAsia="sl-SI"/>
        </w:rPr>
        <w:t> kot pesem, ne le kot himna, Cankarjeva proza, Kosovelove pesmi in proza Zofke Kveder – leto 2026 je vlada razglasila za leto obeh, ob stoletnici njune smrti (Slovenia.si, 2026), izjava pa nobenega od njiju ne omeni –, </w:t>
      </w:r>
      <w:r w:rsidRPr="00C60CC7">
        <w:rPr>
          <w:rFonts w:ascii="Times New Roman" w:eastAsia="Times New Roman" w:hAnsi="Times New Roman" w:cs="Times New Roman"/>
          <w:i/>
          <w:iCs/>
          <w:color w:val="222222"/>
          <w:sz w:val="27"/>
          <w:szCs w:val="27"/>
          <w:lang w:eastAsia="sl-SI"/>
        </w:rPr>
        <w:t>Svetlanine pravljice</w:t>
      </w:r>
      <w:r w:rsidRPr="00C60CC7">
        <w:rPr>
          <w:rFonts w:ascii="Times New Roman" w:eastAsia="Times New Roman" w:hAnsi="Times New Roman" w:cs="Times New Roman"/>
          <w:color w:val="222222"/>
          <w:sz w:val="27"/>
          <w:szCs w:val="27"/>
          <w:lang w:eastAsia="sl-SI"/>
        </w:rPr>
        <w:t> in </w:t>
      </w:r>
      <w:r w:rsidRPr="00C60CC7">
        <w:rPr>
          <w:rFonts w:ascii="Times New Roman" w:eastAsia="Times New Roman" w:hAnsi="Times New Roman" w:cs="Times New Roman"/>
          <w:i/>
          <w:iCs/>
          <w:color w:val="222222"/>
          <w:sz w:val="27"/>
          <w:szCs w:val="27"/>
          <w:lang w:eastAsia="sl-SI"/>
        </w:rPr>
        <w:t xml:space="preserve">Mojca </w:t>
      </w:r>
      <w:proofErr w:type="spellStart"/>
      <w:r w:rsidRPr="00C60CC7">
        <w:rPr>
          <w:rFonts w:ascii="Times New Roman" w:eastAsia="Times New Roman" w:hAnsi="Times New Roman" w:cs="Times New Roman"/>
          <w:i/>
          <w:iCs/>
          <w:color w:val="222222"/>
          <w:sz w:val="27"/>
          <w:szCs w:val="27"/>
          <w:lang w:eastAsia="sl-SI"/>
        </w:rPr>
        <w:t>Pokrajculja</w:t>
      </w:r>
      <w:proofErr w:type="spellEnd"/>
      <w:r w:rsidRPr="00C60CC7">
        <w:rPr>
          <w:rFonts w:ascii="Times New Roman" w:eastAsia="Times New Roman" w:hAnsi="Times New Roman" w:cs="Times New Roman"/>
          <w:color w:val="222222"/>
          <w:sz w:val="27"/>
          <w:szCs w:val="27"/>
          <w:lang w:eastAsia="sl-SI"/>
        </w:rPr>
        <w:t xml:space="preserve">, ki naj jo otroci berejo kot pravljico, ne kot Kazenski zakonik. Kanon kakovostnih avtorjev je zato edina oblika domoljubne vzgoje, ki ne potrebuje ukaza, ker deluje s tem, da ga otrok prepozna kot svojega. Odločilno je merilo, po katerem tak kanon nastane: če ga določata literarna kakovost in preverljiva recepcija – nacionalna in mednarodna, skozi čas in prek prevodov –, prenese menjavo vlade; če ga določa priložnost, torej trenutna bližina odločevalcem ali samooklicanost, ki v učni načrt vstopi brez recenzije, postane seznam, ki ga bo </w:t>
      </w:r>
      <w:r w:rsidRPr="00C60CC7">
        <w:rPr>
          <w:rFonts w:ascii="Times New Roman" w:eastAsia="Times New Roman" w:hAnsi="Times New Roman" w:cs="Times New Roman"/>
          <w:color w:val="222222"/>
          <w:sz w:val="27"/>
          <w:szCs w:val="27"/>
          <w:lang w:eastAsia="sl-SI"/>
        </w:rPr>
        <w:lastRenderedPageBreak/>
        <w:t>naslednja vlada zamenjala z lastnim. To ugotovitev dokumentirajo analize učnih načrtov od 1869 do 2025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2024a; 2026): avtorji so vstopali z režimom in odhajali z njim, avtorice pa niso vstopile nikoli. Domoljubna vzgoja brez jasno opredeljenega literarnega kanona zato tvega zdrs v ideološko deklarativnost; kanon, utemeljen z literarno kakovostjo in recepcijo, pa je tista oblika domoljubja, ki jo literarna veda lahko utemelji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in Žbogar, 2018; </w:t>
      </w: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2025).</w:t>
      </w:r>
    </w:p>
    <w:p w:rsidR="00C60CC7" w:rsidRPr="00C60CC7" w:rsidRDefault="00C60CC7" w:rsidP="00C60CC7">
      <w:pPr>
        <w:shd w:val="clear" w:color="auto" w:fill="FFFFFF"/>
        <w:spacing w:before="240" w:after="80" w:line="390" w:lineRule="atLeast"/>
        <w:outlineLvl w:val="1"/>
        <w:rPr>
          <w:rFonts w:ascii="Times New Roman" w:eastAsia="Times New Roman" w:hAnsi="Times New Roman" w:cs="Times New Roman"/>
          <w:color w:val="2E74B5"/>
          <w:sz w:val="26"/>
          <w:szCs w:val="26"/>
          <w:lang w:eastAsia="sl-SI"/>
        </w:rPr>
      </w:pPr>
      <w:r w:rsidRPr="00C60CC7">
        <w:rPr>
          <w:rFonts w:ascii="Times New Roman" w:eastAsia="Times New Roman" w:hAnsi="Times New Roman" w:cs="Times New Roman"/>
          <w:b/>
          <w:bCs/>
          <w:color w:val="2E74B5"/>
          <w:sz w:val="24"/>
          <w:szCs w:val="24"/>
          <w:lang w:eastAsia="sl-SI"/>
        </w:rPr>
        <w:t>14. Kaj lahko storimo starši, da svojega otroka kar najbolje podpremo pri izobraževanju? – </w:t>
      </w:r>
      <w:r w:rsidRPr="00C60CC7">
        <w:rPr>
          <w:rFonts w:ascii="Times New Roman" w:eastAsia="Times New Roman" w:hAnsi="Times New Roman" w:cs="Times New Roman"/>
          <w:b/>
          <w:bCs/>
          <w:i/>
          <w:iCs/>
          <w:color w:val="2E74B5"/>
          <w:sz w:val="24"/>
          <w:szCs w:val="24"/>
          <w:lang w:eastAsia="sl-SI"/>
        </w:rPr>
        <w:t>Motovilka</w:t>
      </w:r>
      <w:r w:rsidRPr="00C60CC7">
        <w:rPr>
          <w:rFonts w:ascii="Times New Roman" w:eastAsia="Times New Roman" w:hAnsi="Times New Roman" w:cs="Times New Roman"/>
          <w:b/>
          <w:bCs/>
          <w:color w:val="2E74B5"/>
          <w:sz w:val="24"/>
          <w:szCs w:val="24"/>
          <w:lang w:eastAsia="sl-SI"/>
        </w:rPr>
        <w:t> [</w:t>
      </w:r>
      <w:proofErr w:type="spellStart"/>
      <w:r w:rsidRPr="00C60CC7">
        <w:rPr>
          <w:rFonts w:ascii="Times New Roman" w:eastAsia="Times New Roman" w:hAnsi="Times New Roman" w:cs="Times New Roman"/>
          <w:b/>
          <w:bCs/>
          <w:color w:val="2E74B5"/>
          <w:sz w:val="24"/>
          <w:szCs w:val="24"/>
          <w:lang w:eastAsia="sl-SI"/>
        </w:rPr>
        <w:t>Rapunzel</w:t>
      </w:r>
      <w:proofErr w:type="spellEnd"/>
      <w:r w:rsidRPr="00C60CC7">
        <w:rPr>
          <w:rFonts w:ascii="Times New Roman" w:eastAsia="Times New Roman" w:hAnsi="Times New Roman" w:cs="Times New Roman"/>
          <w:b/>
          <w:bCs/>
          <w:color w:val="2E74B5"/>
          <w:sz w:val="24"/>
          <w:szCs w:val="24"/>
          <w:lang w:eastAsia="sl-SI"/>
        </w:rPr>
        <w:t>, ATU 310]</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Ne graditi ›stolpa‹. Bralna pismenost je dolžnost javne šole, ne družine; otrok se mora brati naučiti v šoli, pri slovenščini in pri vseh predmetih. Kadar sistem na upad odgovarja s promocijo družinskega branja, odgovornost prenaša na starše in reproducira socialno selekcijo, ker pismenost dobi otrok, katerega starši imajo čas in knjige. Izjava to prelaganje opravi z </w:t>
      </w:r>
      <w:proofErr w:type="spellStart"/>
      <w:r w:rsidRPr="00C60CC7">
        <w:rPr>
          <w:rFonts w:ascii="Times New Roman" w:eastAsia="Times New Roman" w:hAnsi="Times New Roman" w:cs="Times New Roman"/>
          <w:color w:val="222222"/>
          <w:sz w:val="27"/>
          <w:szCs w:val="27"/>
          <w:lang w:eastAsia="sl-SI"/>
        </w:rPr>
        <w:t>ekskulpacijo</w:t>
      </w:r>
      <w:proofErr w:type="spellEnd"/>
      <w:r w:rsidRPr="00C60CC7">
        <w:rPr>
          <w:rFonts w:ascii="Times New Roman" w:eastAsia="Times New Roman" w:hAnsi="Times New Roman" w:cs="Times New Roman"/>
          <w:color w:val="222222"/>
          <w:sz w:val="27"/>
          <w:szCs w:val="27"/>
          <w:lang w:eastAsia="sl-SI"/>
        </w:rPr>
        <w:t xml:space="preserve"> – "niso obsodba", "niso problem" (Izjava 6, 120) – in s podelitvijo vlog, staršem "osrednjo vlogo" in "zaupanje" (Izjava 36, 125), bralne pismenosti pa ne pripiše nikomur. Starši naj zato od šole zahtevajo branje v šoli, od ministrstva pa ukrepe, roke in merila – in odgovor na vprašanje, čigava besedila bo otrok bral naslednjih devet let, ki ga sistem, ki prvošolcu podari Ustavo, doslej ni dal (5. odgovor). Dom naj ostane prostor varnosti in igre; ›stolp‹ pa naj podre tisti, ki ga je zgradil.</w:t>
      </w:r>
    </w:p>
    <w:p w:rsidR="00C60CC7" w:rsidRPr="00C60CC7" w:rsidRDefault="00C60CC7" w:rsidP="00C60CC7">
      <w:pPr>
        <w:shd w:val="clear" w:color="auto" w:fill="FFFFFF"/>
        <w:spacing w:before="360" w:after="200" w:line="480" w:lineRule="atLeast"/>
        <w:outlineLvl w:val="0"/>
        <w:rPr>
          <w:rFonts w:ascii="Times New Roman" w:eastAsia="Times New Roman" w:hAnsi="Times New Roman" w:cs="Times New Roman"/>
          <w:color w:val="2E74B5"/>
          <w:kern w:val="36"/>
          <w:sz w:val="32"/>
          <w:szCs w:val="32"/>
          <w:lang w:eastAsia="sl-SI"/>
        </w:rPr>
      </w:pPr>
      <w:r w:rsidRPr="00C60CC7">
        <w:rPr>
          <w:rFonts w:ascii="Times New Roman" w:eastAsia="Times New Roman" w:hAnsi="Times New Roman" w:cs="Times New Roman"/>
          <w:b/>
          <w:bCs/>
          <w:color w:val="000000"/>
          <w:kern w:val="36"/>
          <w:sz w:val="28"/>
          <w:szCs w:val="28"/>
          <w:lang w:eastAsia="sl-SI"/>
        </w:rPr>
        <w:t>Sklep</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Analiza izjave ministra za izobraževanje, znanost in mladino kaže, da reformni predlogi izhajajo predvsem iz organizacijskih in upravljavskih izhodišč, medtem ko vprašanja književnosti, branja, literarnega kanona, ljudskega slovstva in reprezentacije avtoric ostajajo na obrobju razprave. Osrednji problem slovenskega šolskega sistema zato ni pomanjkanje reform, temveč pomanjkanje njihove sistematične evalvacije. Brez neodvisne evalvacije učnih načrtov, transparentnih </w:t>
      </w:r>
      <w:proofErr w:type="spellStart"/>
      <w:r w:rsidRPr="00C60CC7">
        <w:rPr>
          <w:rFonts w:ascii="Times New Roman" w:eastAsia="Times New Roman" w:hAnsi="Times New Roman" w:cs="Times New Roman"/>
          <w:color w:val="222222"/>
          <w:sz w:val="27"/>
          <w:szCs w:val="27"/>
          <w:lang w:eastAsia="sl-SI"/>
        </w:rPr>
        <w:t>kurikularnih</w:t>
      </w:r>
      <w:proofErr w:type="spellEnd"/>
      <w:r w:rsidRPr="00C60CC7">
        <w:rPr>
          <w:rFonts w:ascii="Times New Roman" w:eastAsia="Times New Roman" w:hAnsi="Times New Roman" w:cs="Times New Roman"/>
          <w:color w:val="222222"/>
          <w:sz w:val="27"/>
          <w:szCs w:val="27"/>
          <w:lang w:eastAsia="sl-SI"/>
        </w:rPr>
        <w:t xml:space="preserve"> postopkov, jasne opredelitve ciljev bralne pismenosti in etičnih meril za vključevanje avtorjev v javno financirano izobraževanje obstaja nevarnost, da bodo nove reforme ponovile strukturo prejšnjih: spremembe brez preverljivih dokazov o njihovi učinkovitosti – in učni načrt, v katerem otrok ostaja predvsem predmet reformnih ukrepov in premalo subjekt branja.</w:t>
      </w:r>
    </w:p>
    <w:p w:rsidR="00C60CC7" w:rsidRPr="00C60CC7" w:rsidRDefault="00C60CC7" w:rsidP="00C60CC7">
      <w:pPr>
        <w:shd w:val="clear" w:color="auto" w:fill="FFFFFF"/>
        <w:spacing w:after="120" w:line="360" w:lineRule="atLeast"/>
        <w:ind w:firstLine="720"/>
        <w:jc w:val="both"/>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Prispevek reform ne obravnava predvsem kot organizacijskega ali političnega vprašanja, temveč kot vprašanje kulturne in literarne politike. Analiza kaže, da so razprave o šolstvu osredinjene na strukturo sistema, medtem ko vsebina branja, literarni kanon, ljudsko slovstvo in reprezentacija avtoric ostajajo potisnjeni na rob. </w:t>
      </w:r>
      <w:r w:rsidRPr="00C60CC7">
        <w:rPr>
          <w:rFonts w:ascii="Times New Roman" w:eastAsia="Times New Roman" w:hAnsi="Times New Roman" w:cs="Times New Roman"/>
          <w:color w:val="222222"/>
          <w:sz w:val="27"/>
          <w:szCs w:val="27"/>
          <w:lang w:eastAsia="sl-SI"/>
        </w:rPr>
        <w:lastRenderedPageBreak/>
        <w:t>Prav zato je treba prihodnje razprave o reformah povezati z raziskavami bralne pismenosti, književne vzgoje in kulturnega spomina – in z otrokom kot njihovim osrednjim naslovnikom.</w:t>
      </w:r>
    </w:p>
    <w:p w:rsidR="00C60CC7" w:rsidRPr="00C60CC7" w:rsidRDefault="00C60CC7" w:rsidP="00C60CC7">
      <w:pPr>
        <w:spacing w:after="0" w:line="240" w:lineRule="auto"/>
        <w:rPr>
          <w:rFonts w:ascii="Times New Roman" w:eastAsia="Times New Roman" w:hAnsi="Times New Roman" w:cs="Times New Roman"/>
          <w:sz w:val="24"/>
          <w:szCs w:val="24"/>
          <w:lang w:eastAsia="sl-SI"/>
        </w:rPr>
      </w:pPr>
      <w:r w:rsidRPr="00C60CC7">
        <w:rPr>
          <w:rFonts w:ascii="Arial" w:eastAsia="Times New Roman" w:hAnsi="Arial" w:cs="Arial"/>
          <w:color w:val="222222"/>
          <w:sz w:val="24"/>
          <w:szCs w:val="24"/>
          <w:lang w:eastAsia="sl-SI"/>
        </w:rPr>
        <w:br w:type="textWrapping" w:clear="all"/>
      </w:r>
    </w:p>
    <w:p w:rsidR="00C60CC7" w:rsidRPr="00C60CC7" w:rsidRDefault="00C60CC7" w:rsidP="00C60CC7">
      <w:pPr>
        <w:shd w:val="clear" w:color="auto" w:fill="FFFFFF"/>
        <w:spacing w:after="0" w:line="240" w:lineRule="auto"/>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w:t>
      </w:r>
    </w:p>
    <w:p w:rsidR="00C60CC7" w:rsidRPr="00C60CC7" w:rsidRDefault="00C60CC7" w:rsidP="00C60CC7">
      <w:pPr>
        <w:shd w:val="clear" w:color="auto" w:fill="FFFFFF"/>
        <w:spacing w:before="360" w:after="200" w:line="480" w:lineRule="atLeast"/>
        <w:outlineLvl w:val="0"/>
        <w:rPr>
          <w:rFonts w:ascii="Times New Roman" w:eastAsia="Times New Roman" w:hAnsi="Times New Roman" w:cs="Times New Roman"/>
          <w:color w:val="2E74B5"/>
          <w:kern w:val="36"/>
          <w:sz w:val="32"/>
          <w:szCs w:val="32"/>
          <w:lang w:eastAsia="sl-SI"/>
        </w:rPr>
      </w:pPr>
      <w:r w:rsidRPr="00C60CC7">
        <w:rPr>
          <w:rFonts w:ascii="Times New Roman" w:eastAsia="Times New Roman" w:hAnsi="Times New Roman" w:cs="Times New Roman"/>
          <w:b/>
          <w:bCs/>
          <w:color w:val="000000"/>
          <w:kern w:val="36"/>
          <w:sz w:val="28"/>
          <w:szCs w:val="28"/>
          <w:lang w:eastAsia="sl-SI"/>
        </w:rPr>
        <w:t>Viri in literatura</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hyperlink r:id="rId5" w:tgtFrame="_blank" w:history="1">
        <w:r w:rsidRPr="00C60CC7">
          <w:rPr>
            <w:rFonts w:ascii="Times New Roman" w:eastAsia="Times New Roman" w:hAnsi="Times New Roman" w:cs="Times New Roman"/>
            <w:color w:val="1155CC"/>
            <w:sz w:val="27"/>
            <w:szCs w:val="27"/>
            <w:u w:val="single"/>
            <w:lang w:eastAsia="sl-SI"/>
          </w:rPr>
          <w:t>24ur.com</w:t>
        </w:r>
      </w:hyperlink>
      <w:r w:rsidRPr="00C60CC7">
        <w:rPr>
          <w:rFonts w:ascii="Times New Roman" w:eastAsia="Times New Roman" w:hAnsi="Times New Roman" w:cs="Times New Roman"/>
          <w:color w:val="222222"/>
          <w:sz w:val="27"/>
          <w:szCs w:val="27"/>
          <w:lang w:eastAsia="sl-SI"/>
        </w:rPr>
        <w:t>. (2026, 1. 9.). Prvošolcem prvič v roke zastava in ustava. </w:t>
      </w:r>
      <w:hyperlink r:id="rId6" w:tgtFrame="_blank" w:history="1">
        <w:r w:rsidRPr="00C60CC7">
          <w:rPr>
            <w:rFonts w:ascii="Times New Roman" w:eastAsia="Times New Roman" w:hAnsi="Times New Roman" w:cs="Times New Roman"/>
            <w:color w:val="1155CC"/>
            <w:sz w:val="27"/>
            <w:szCs w:val="27"/>
            <w:u w:val="single"/>
            <w:lang w:eastAsia="sl-SI"/>
          </w:rPr>
          <w:t>https://www.24ur.com/novice/slovenija/prvosolcem-prvic-v-roke-zastava-in-ustava.html</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(2011). Problematičen izbor knjig: Cankarjevo priznanje 2011/12. </w:t>
      </w:r>
      <w:r w:rsidRPr="00C60CC7">
        <w:rPr>
          <w:rFonts w:ascii="Times New Roman" w:eastAsia="Times New Roman" w:hAnsi="Times New Roman" w:cs="Times New Roman"/>
          <w:i/>
          <w:iCs/>
          <w:color w:val="222222"/>
          <w:sz w:val="27"/>
          <w:szCs w:val="27"/>
          <w:lang w:eastAsia="sl-SI"/>
        </w:rPr>
        <w:t>Vzgoja</w:t>
      </w:r>
      <w:r w:rsidRPr="00C60CC7">
        <w:rPr>
          <w:rFonts w:ascii="Times New Roman" w:eastAsia="Times New Roman" w:hAnsi="Times New Roman" w:cs="Times New Roman"/>
          <w:color w:val="222222"/>
          <w:sz w:val="27"/>
          <w:szCs w:val="27"/>
          <w:lang w:eastAsia="sl-SI"/>
        </w:rPr>
        <w:t>, 13(4), 10–15.</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M. M. (2012). Odgovornost javne uprave pri določanju učnih načrtov in s tem povezane pravice otrok. V P. </w:t>
      </w:r>
      <w:proofErr w:type="spellStart"/>
      <w:r w:rsidRPr="00C60CC7">
        <w:rPr>
          <w:rFonts w:ascii="Times New Roman" w:eastAsia="Times New Roman" w:hAnsi="Times New Roman" w:cs="Times New Roman"/>
          <w:color w:val="222222"/>
          <w:sz w:val="27"/>
          <w:szCs w:val="27"/>
          <w:lang w:eastAsia="sl-SI"/>
        </w:rPr>
        <w:t>Pevcin</w:t>
      </w:r>
      <w:proofErr w:type="spellEnd"/>
      <w:r w:rsidRPr="00C60CC7">
        <w:rPr>
          <w:rFonts w:ascii="Times New Roman" w:eastAsia="Times New Roman" w:hAnsi="Times New Roman" w:cs="Times New Roman"/>
          <w:color w:val="222222"/>
          <w:sz w:val="27"/>
          <w:szCs w:val="27"/>
          <w:lang w:eastAsia="sl-SI"/>
        </w:rPr>
        <w:t xml:space="preserve"> (ur.), </w:t>
      </w:r>
      <w:r w:rsidRPr="00C60CC7">
        <w:rPr>
          <w:rFonts w:ascii="Times New Roman" w:eastAsia="Times New Roman" w:hAnsi="Times New Roman" w:cs="Times New Roman"/>
          <w:i/>
          <w:iCs/>
          <w:color w:val="222222"/>
          <w:sz w:val="27"/>
          <w:szCs w:val="27"/>
          <w:lang w:eastAsia="sl-SI"/>
        </w:rPr>
        <w:t>Razumen in razumljen javni sektor – izzivi med reorganizacijo in racionalizacijo: zbornik referatov</w:t>
      </w:r>
      <w:r w:rsidRPr="00C60CC7">
        <w:rPr>
          <w:rFonts w:ascii="Times New Roman" w:eastAsia="Times New Roman" w:hAnsi="Times New Roman" w:cs="Times New Roman"/>
          <w:color w:val="222222"/>
          <w:sz w:val="27"/>
          <w:szCs w:val="27"/>
          <w:lang w:eastAsia="sl-SI"/>
        </w:rPr>
        <w:t xml:space="preserve">. Fakulteta za upravo. (Ponatis: </w:t>
      </w:r>
      <w:proofErr w:type="spellStart"/>
      <w:r w:rsidRPr="00C60CC7">
        <w:rPr>
          <w:rFonts w:ascii="Times New Roman" w:eastAsia="Times New Roman" w:hAnsi="Times New Roman" w:cs="Times New Roman"/>
          <w:color w:val="222222"/>
          <w:sz w:val="27"/>
          <w:szCs w:val="27"/>
          <w:lang w:eastAsia="sl-SI"/>
        </w:rPr>
        <w:t>Wikiverza</w:t>
      </w:r>
      <w:proofErr w:type="spellEnd"/>
      <w:r w:rsidRPr="00C60CC7">
        <w:rPr>
          <w:rFonts w:ascii="Times New Roman" w:eastAsia="Times New Roman" w:hAnsi="Times New Roman" w:cs="Times New Roman"/>
          <w:color w:val="222222"/>
          <w:sz w:val="27"/>
          <w:szCs w:val="27"/>
          <w:lang w:eastAsia="sl-SI"/>
        </w:rPr>
        <w:t>, https://sl.wikiversity.org/wiki/Etičnost_Ministrstva_za_izobraževanje,_znanost,_kulturo_in_šport_ter_pravice_otrok_--_znanstveni_članek)</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Milena (2018). Mestna knjižnica Ljubljana, zlate hruške in prevzemanje odgovornosti. </w:t>
      </w:r>
      <w:r w:rsidRPr="00C60CC7">
        <w:rPr>
          <w:rFonts w:ascii="Times New Roman" w:eastAsia="Times New Roman" w:hAnsi="Times New Roman" w:cs="Times New Roman"/>
          <w:i/>
          <w:iCs/>
          <w:color w:val="222222"/>
          <w:sz w:val="27"/>
          <w:szCs w:val="27"/>
          <w:lang w:eastAsia="sl-SI"/>
        </w:rPr>
        <w:t>Sodobnost (1963)</w:t>
      </w:r>
      <w:r w:rsidRPr="00C60CC7">
        <w:rPr>
          <w:rFonts w:ascii="Times New Roman" w:eastAsia="Times New Roman" w:hAnsi="Times New Roman" w:cs="Times New Roman"/>
          <w:color w:val="222222"/>
          <w:sz w:val="27"/>
          <w:szCs w:val="27"/>
          <w:lang w:eastAsia="sl-SI"/>
        </w:rPr>
        <w:t xml:space="preserve">, letnik 82, številka 1/2, str. 178–191. URN:NBN:SI:DOC-BZCVQFO6 </w:t>
      </w:r>
      <w:proofErr w:type="spellStart"/>
      <w:r w:rsidRPr="00C60CC7">
        <w:rPr>
          <w:rFonts w:ascii="Times New Roman" w:eastAsia="Times New Roman" w:hAnsi="Times New Roman" w:cs="Times New Roman"/>
          <w:color w:val="222222"/>
          <w:sz w:val="27"/>
          <w:szCs w:val="27"/>
          <w:lang w:eastAsia="sl-SI"/>
        </w:rPr>
        <w:t>from</w:t>
      </w:r>
      <w:proofErr w:type="spellEnd"/>
      <w:r w:rsidRPr="00C60CC7">
        <w:rPr>
          <w:rFonts w:ascii="Times New Roman" w:eastAsia="Times New Roman" w:hAnsi="Times New Roman" w:cs="Times New Roman"/>
          <w:color w:val="222222"/>
          <w:sz w:val="27"/>
          <w:szCs w:val="27"/>
          <w:lang w:eastAsia="sl-SI"/>
        </w:rPr>
        <w:t> </w:t>
      </w:r>
      <w:hyperlink r:id="rId7" w:tgtFrame="_blank" w:history="1">
        <w:r w:rsidRPr="00C60CC7">
          <w:rPr>
            <w:rFonts w:ascii="Times New Roman" w:eastAsia="Times New Roman" w:hAnsi="Times New Roman" w:cs="Times New Roman"/>
            <w:color w:val="1155CC"/>
            <w:sz w:val="27"/>
            <w:szCs w:val="27"/>
            <w:u w:val="single"/>
            <w:lang w:eastAsia="sl-SI"/>
          </w:rPr>
          <w:t>http://www.dlib.si</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(2019). Učni načrt za slovenščino v osnovni šoli (2011) v luči sodobnih pogledov na pouk mladinske književnosti. </w:t>
      </w:r>
      <w:r w:rsidRPr="00C60CC7">
        <w:rPr>
          <w:rFonts w:ascii="Times New Roman" w:eastAsia="Times New Roman" w:hAnsi="Times New Roman" w:cs="Times New Roman"/>
          <w:i/>
          <w:iCs/>
          <w:color w:val="222222"/>
          <w:sz w:val="27"/>
          <w:szCs w:val="27"/>
          <w:lang w:eastAsia="sl-SI"/>
        </w:rPr>
        <w:t>Jezik in slovstvo</w:t>
      </w:r>
      <w:r w:rsidRPr="00C60CC7">
        <w:rPr>
          <w:rFonts w:ascii="Times New Roman" w:eastAsia="Times New Roman" w:hAnsi="Times New Roman" w:cs="Times New Roman"/>
          <w:color w:val="222222"/>
          <w:sz w:val="27"/>
          <w:szCs w:val="27"/>
          <w:lang w:eastAsia="sl-SI"/>
        </w:rPr>
        <w:t>, 64(1), 11–19. </w:t>
      </w:r>
      <w:hyperlink r:id="rId8" w:tgtFrame="_blank" w:history="1">
        <w:r w:rsidRPr="00C60CC7">
          <w:rPr>
            <w:rFonts w:ascii="Times New Roman" w:eastAsia="Times New Roman" w:hAnsi="Times New Roman" w:cs="Times New Roman"/>
            <w:color w:val="1155CC"/>
            <w:sz w:val="27"/>
            <w:szCs w:val="27"/>
            <w:u w:val="single"/>
            <w:lang w:eastAsia="sl-SI"/>
          </w:rPr>
          <w:t>https://doi.org/10.4312/jis.64.1.11-19</w:t>
        </w:r>
      </w:hyperlink>
      <w:r w:rsidRPr="00C60CC7">
        <w:rPr>
          <w:rFonts w:ascii="Times New Roman" w:eastAsia="Times New Roman" w:hAnsi="Times New Roman" w:cs="Times New Roman"/>
          <w:color w:val="222222"/>
          <w:sz w:val="27"/>
          <w:szCs w:val="27"/>
          <w:lang w:eastAsia="sl-SI"/>
        </w:rPr>
        <w:t>; URN:NBN:SI:doc-4FBNW2RO</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M. M. (2020a). Ljubljana </w:t>
      </w:r>
      <w:proofErr w:type="spellStart"/>
      <w:r w:rsidRPr="00C60CC7">
        <w:rPr>
          <w:rFonts w:ascii="Times New Roman" w:eastAsia="Times New Roman" w:hAnsi="Times New Roman" w:cs="Times New Roman"/>
          <w:color w:val="222222"/>
          <w:sz w:val="27"/>
          <w:szCs w:val="27"/>
          <w:lang w:eastAsia="sl-SI"/>
        </w:rPr>
        <w:t>City</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Library</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gold</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pears</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and</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assuming</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responsibility</w:t>
      </w:r>
      <w:proofErr w:type="spellEnd"/>
      <w:r w:rsidRPr="00C60CC7">
        <w:rPr>
          <w:rFonts w:ascii="Times New Roman" w:eastAsia="Times New Roman" w:hAnsi="Times New Roman" w:cs="Times New Roman"/>
          <w:color w:val="222222"/>
          <w:sz w:val="27"/>
          <w:szCs w:val="27"/>
          <w:lang w:eastAsia="sl-SI"/>
        </w:rPr>
        <w:t>. </w:t>
      </w:r>
      <w:proofErr w:type="spellStart"/>
      <w:r w:rsidRPr="00C60CC7">
        <w:rPr>
          <w:rFonts w:ascii="Times New Roman" w:eastAsia="Times New Roman" w:hAnsi="Times New Roman" w:cs="Times New Roman"/>
          <w:i/>
          <w:iCs/>
          <w:color w:val="222222"/>
          <w:sz w:val="27"/>
          <w:szCs w:val="27"/>
          <w:lang w:eastAsia="sl-SI"/>
        </w:rPr>
        <w:t>Annals</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of</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Language</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and</w:t>
      </w:r>
      <w:proofErr w:type="spellEnd"/>
      <w:r w:rsidRPr="00C60CC7">
        <w:rPr>
          <w:rFonts w:ascii="Times New Roman" w:eastAsia="Times New Roman" w:hAnsi="Times New Roman" w:cs="Times New Roman"/>
          <w:i/>
          <w:iCs/>
          <w:color w:val="222222"/>
          <w:sz w:val="27"/>
          <w:szCs w:val="27"/>
          <w:lang w:eastAsia="sl-SI"/>
        </w:rPr>
        <w:t xml:space="preserve"> Literature</w:t>
      </w:r>
      <w:r w:rsidRPr="00C60CC7">
        <w:rPr>
          <w:rFonts w:ascii="Times New Roman" w:eastAsia="Times New Roman" w:hAnsi="Times New Roman" w:cs="Times New Roman"/>
          <w:color w:val="222222"/>
          <w:sz w:val="27"/>
          <w:szCs w:val="27"/>
          <w:lang w:eastAsia="sl-SI"/>
        </w:rPr>
        <w:t>, 4(1), 19–26. </w:t>
      </w:r>
      <w:hyperlink r:id="rId9" w:tgtFrame="_blank" w:history="1">
        <w:r w:rsidRPr="00C60CC7">
          <w:rPr>
            <w:rFonts w:ascii="Times New Roman" w:eastAsia="Times New Roman" w:hAnsi="Times New Roman" w:cs="Times New Roman"/>
            <w:color w:val="1155CC"/>
            <w:sz w:val="27"/>
            <w:szCs w:val="27"/>
            <w:u w:val="single"/>
            <w:lang w:eastAsia="sl-SI"/>
          </w:rPr>
          <w:t>https://repozitorij.uni-lj.si/IzpisGradiva.php?id=116209</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M. M. (2020b). </w:t>
      </w:r>
      <w:proofErr w:type="spellStart"/>
      <w:r w:rsidRPr="00C60CC7">
        <w:rPr>
          <w:rFonts w:ascii="Times New Roman" w:eastAsia="Times New Roman" w:hAnsi="Times New Roman" w:cs="Times New Roman"/>
          <w:color w:val="222222"/>
          <w:sz w:val="27"/>
          <w:szCs w:val="27"/>
          <w:lang w:eastAsia="sl-SI"/>
        </w:rPr>
        <w:t>Multilingualism</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and</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interculturalism</w:t>
      </w:r>
      <w:proofErr w:type="spellEnd"/>
      <w:r w:rsidRPr="00C60CC7">
        <w:rPr>
          <w:rFonts w:ascii="Times New Roman" w:eastAsia="Times New Roman" w:hAnsi="Times New Roman" w:cs="Times New Roman"/>
          <w:color w:val="222222"/>
          <w:sz w:val="27"/>
          <w:szCs w:val="27"/>
          <w:lang w:eastAsia="sl-SI"/>
        </w:rPr>
        <w:t xml:space="preserve"> in </w:t>
      </w:r>
      <w:proofErr w:type="spellStart"/>
      <w:r w:rsidRPr="00C60CC7">
        <w:rPr>
          <w:rFonts w:ascii="Times New Roman" w:eastAsia="Times New Roman" w:hAnsi="Times New Roman" w:cs="Times New Roman"/>
          <w:color w:val="222222"/>
          <w:sz w:val="27"/>
          <w:szCs w:val="27"/>
          <w:lang w:eastAsia="sl-SI"/>
        </w:rPr>
        <w:t>fairy</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tales</w:t>
      </w:r>
      <w:proofErr w:type="spellEnd"/>
      <w:r w:rsidRPr="00C60CC7">
        <w:rPr>
          <w:rFonts w:ascii="Times New Roman" w:eastAsia="Times New Roman" w:hAnsi="Times New Roman" w:cs="Times New Roman"/>
          <w:color w:val="222222"/>
          <w:sz w:val="27"/>
          <w:szCs w:val="27"/>
          <w:lang w:eastAsia="sl-SI"/>
        </w:rPr>
        <w:t xml:space="preserve"> – </w:t>
      </w:r>
      <w:proofErr w:type="spellStart"/>
      <w:r w:rsidRPr="00C60CC7">
        <w:rPr>
          <w:rFonts w:ascii="Times New Roman" w:eastAsia="Times New Roman" w:hAnsi="Times New Roman" w:cs="Times New Roman"/>
          <w:color w:val="222222"/>
          <w:sz w:val="27"/>
          <w:szCs w:val="27"/>
          <w:lang w:eastAsia="sl-SI"/>
        </w:rPr>
        <w:t>Dorothea</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Viehmann</w:t>
      </w:r>
      <w:proofErr w:type="spellEnd"/>
      <w:r w:rsidRPr="00C60CC7">
        <w:rPr>
          <w:rFonts w:ascii="Times New Roman" w:eastAsia="Times New Roman" w:hAnsi="Times New Roman" w:cs="Times New Roman"/>
          <w:color w:val="222222"/>
          <w:sz w:val="27"/>
          <w:szCs w:val="27"/>
          <w:lang w:eastAsia="sl-SI"/>
        </w:rPr>
        <w:t xml:space="preserve">, Laura </w:t>
      </w:r>
      <w:proofErr w:type="spellStart"/>
      <w:r w:rsidRPr="00C60CC7">
        <w:rPr>
          <w:rFonts w:ascii="Times New Roman" w:eastAsia="Times New Roman" w:hAnsi="Times New Roman" w:cs="Times New Roman"/>
          <w:color w:val="222222"/>
          <w:sz w:val="27"/>
          <w:szCs w:val="27"/>
          <w:lang w:eastAsia="sl-SI"/>
        </w:rPr>
        <w:t>Gonzenbach</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and</w:t>
      </w:r>
      <w:proofErr w:type="spellEnd"/>
      <w:r w:rsidRPr="00C60CC7">
        <w:rPr>
          <w:rFonts w:ascii="Times New Roman" w:eastAsia="Times New Roman" w:hAnsi="Times New Roman" w:cs="Times New Roman"/>
          <w:color w:val="222222"/>
          <w:sz w:val="27"/>
          <w:szCs w:val="27"/>
          <w:lang w:eastAsia="sl-SI"/>
        </w:rPr>
        <w:t xml:space="preserve"> Tina Vajt – ATU 402. </w:t>
      </w:r>
      <w:proofErr w:type="spellStart"/>
      <w:r w:rsidRPr="00C60CC7">
        <w:rPr>
          <w:rFonts w:ascii="Times New Roman" w:eastAsia="Times New Roman" w:hAnsi="Times New Roman" w:cs="Times New Roman"/>
          <w:i/>
          <w:iCs/>
          <w:color w:val="222222"/>
          <w:sz w:val="27"/>
          <w:szCs w:val="27"/>
          <w:lang w:eastAsia="sl-SI"/>
        </w:rPr>
        <w:t>Annals</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of</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Language</w:t>
      </w:r>
      <w:proofErr w:type="spellEnd"/>
      <w:r w:rsidRPr="00C60CC7">
        <w:rPr>
          <w:rFonts w:ascii="Times New Roman" w:eastAsia="Times New Roman" w:hAnsi="Times New Roman" w:cs="Times New Roman"/>
          <w:i/>
          <w:iCs/>
          <w:color w:val="222222"/>
          <w:sz w:val="27"/>
          <w:szCs w:val="27"/>
          <w:lang w:eastAsia="sl-SI"/>
        </w:rPr>
        <w:t xml:space="preserve"> </w:t>
      </w:r>
      <w:proofErr w:type="spellStart"/>
      <w:r w:rsidRPr="00C60CC7">
        <w:rPr>
          <w:rFonts w:ascii="Times New Roman" w:eastAsia="Times New Roman" w:hAnsi="Times New Roman" w:cs="Times New Roman"/>
          <w:i/>
          <w:iCs/>
          <w:color w:val="222222"/>
          <w:sz w:val="27"/>
          <w:szCs w:val="27"/>
          <w:lang w:eastAsia="sl-SI"/>
        </w:rPr>
        <w:t>and</w:t>
      </w:r>
      <w:proofErr w:type="spellEnd"/>
      <w:r w:rsidRPr="00C60CC7">
        <w:rPr>
          <w:rFonts w:ascii="Times New Roman" w:eastAsia="Times New Roman" w:hAnsi="Times New Roman" w:cs="Times New Roman"/>
          <w:i/>
          <w:iCs/>
          <w:color w:val="222222"/>
          <w:sz w:val="27"/>
          <w:szCs w:val="27"/>
          <w:lang w:eastAsia="sl-SI"/>
        </w:rPr>
        <w:t xml:space="preserve"> Literature</w:t>
      </w:r>
      <w:r w:rsidRPr="00C60CC7">
        <w:rPr>
          <w:rFonts w:ascii="Times New Roman" w:eastAsia="Times New Roman" w:hAnsi="Times New Roman" w:cs="Times New Roman"/>
          <w:color w:val="222222"/>
          <w:sz w:val="27"/>
          <w:szCs w:val="27"/>
          <w:lang w:eastAsia="sl-SI"/>
        </w:rPr>
        <w:t>, 4(3), 9–17. </w:t>
      </w:r>
      <w:hyperlink r:id="rId10" w:tgtFrame="_blank" w:history="1">
        <w:r w:rsidRPr="00C60CC7">
          <w:rPr>
            <w:rFonts w:ascii="Times New Roman" w:eastAsia="Times New Roman" w:hAnsi="Times New Roman" w:cs="Times New Roman"/>
            <w:color w:val="1155CC"/>
            <w:sz w:val="27"/>
            <w:szCs w:val="27"/>
            <w:u w:val="single"/>
            <w:lang w:eastAsia="sl-SI"/>
          </w:rPr>
          <w:t>https://repozitorij.uni-lj.si/IzpisGradiva.php?id=145318</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(2022). Holokavst v izobraževanju – izločitev Dnevnika Ane Frank iz učnega načrta za slovenščino (2019). </w:t>
      </w:r>
      <w:r w:rsidRPr="00C60CC7">
        <w:rPr>
          <w:rFonts w:ascii="Times New Roman" w:eastAsia="Times New Roman" w:hAnsi="Times New Roman" w:cs="Times New Roman"/>
          <w:i/>
          <w:iCs/>
          <w:color w:val="222222"/>
          <w:sz w:val="27"/>
          <w:szCs w:val="27"/>
          <w:lang w:eastAsia="sl-SI"/>
        </w:rPr>
        <w:t>Edinost in dialog</w:t>
      </w:r>
      <w:r w:rsidRPr="00C60CC7">
        <w:rPr>
          <w:rFonts w:ascii="Times New Roman" w:eastAsia="Times New Roman" w:hAnsi="Times New Roman" w:cs="Times New Roman"/>
          <w:color w:val="222222"/>
          <w:sz w:val="27"/>
          <w:szCs w:val="27"/>
          <w:lang w:eastAsia="sl-SI"/>
        </w:rPr>
        <w:t>, 77(1), 227–</w:t>
      </w:r>
      <w:r w:rsidRPr="00C60CC7">
        <w:rPr>
          <w:rFonts w:ascii="Times New Roman" w:eastAsia="Times New Roman" w:hAnsi="Times New Roman" w:cs="Times New Roman"/>
          <w:color w:val="222222"/>
          <w:sz w:val="27"/>
          <w:szCs w:val="27"/>
          <w:lang w:eastAsia="sl-SI"/>
        </w:rPr>
        <w:lastRenderedPageBreak/>
        <w:t>244. </w:t>
      </w:r>
      <w:hyperlink r:id="rId11" w:tgtFrame="_blank" w:history="1">
        <w:r w:rsidRPr="00C60CC7">
          <w:rPr>
            <w:rFonts w:ascii="Times New Roman" w:eastAsia="Times New Roman" w:hAnsi="Times New Roman" w:cs="Times New Roman"/>
            <w:color w:val="1155CC"/>
            <w:sz w:val="27"/>
            <w:szCs w:val="27"/>
            <w:u w:val="single"/>
            <w:lang w:eastAsia="sl-SI"/>
          </w:rPr>
          <w:t>https://doi.org/10.34291/Edinost/77/01/Blazic</w:t>
        </w:r>
      </w:hyperlink>
      <w:r w:rsidRPr="00C60CC7">
        <w:rPr>
          <w:rFonts w:ascii="Times New Roman" w:eastAsia="Times New Roman" w:hAnsi="Times New Roman" w:cs="Times New Roman"/>
          <w:color w:val="222222"/>
          <w:sz w:val="27"/>
          <w:szCs w:val="27"/>
          <w:lang w:eastAsia="sl-SI"/>
        </w:rPr>
        <w:t>; URN:NBN:SI:doc-K2JC6JF5</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(2024a). Mladinska klasika v učnih načrtih za slovenščino (1869–2024). V J. Jožef Beg, M. Hočevar in N. Kočnik (ur.), </w:t>
      </w:r>
      <w:r w:rsidRPr="00C60CC7">
        <w:rPr>
          <w:rFonts w:ascii="Times New Roman" w:eastAsia="Times New Roman" w:hAnsi="Times New Roman" w:cs="Times New Roman"/>
          <w:i/>
          <w:iCs/>
          <w:color w:val="222222"/>
          <w:sz w:val="27"/>
          <w:szCs w:val="27"/>
          <w:lang w:eastAsia="sl-SI"/>
        </w:rPr>
        <w:t>Jezik in književnost v spreminjanju</w:t>
      </w:r>
      <w:r w:rsidRPr="00C60CC7">
        <w:rPr>
          <w:rFonts w:ascii="Times New Roman" w:eastAsia="Times New Roman" w:hAnsi="Times New Roman" w:cs="Times New Roman"/>
          <w:color w:val="222222"/>
          <w:sz w:val="27"/>
          <w:szCs w:val="27"/>
          <w:lang w:eastAsia="sl-SI"/>
        </w:rPr>
        <w:t> (str. 459–474). Zveza društev Slavistično društvo Slovenije.</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xml:space="preserve">, M. M., </w:t>
      </w:r>
      <w:proofErr w:type="spellStart"/>
      <w:r w:rsidRPr="00C60CC7">
        <w:rPr>
          <w:rFonts w:ascii="Times New Roman" w:eastAsia="Times New Roman" w:hAnsi="Times New Roman" w:cs="Times New Roman"/>
          <w:color w:val="222222"/>
          <w:sz w:val="27"/>
          <w:szCs w:val="27"/>
          <w:lang w:eastAsia="sl-SI"/>
        </w:rPr>
        <w:t>Iseni</w:t>
      </w:r>
      <w:proofErr w:type="spellEnd"/>
      <w:r w:rsidRPr="00C60CC7">
        <w:rPr>
          <w:rFonts w:ascii="Times New Roman" w:eastAsia="Times New Roman" w:hAnsi="Times New Roman" w:cs="Times New Roman"/>
          <w:color w:val="222222"/>
          <w:sz w:val="27"/>
          <w:szCs w:val="27"/>
          <w:lang w:eastAsia="sl-SI"/>
        </w:rPr>
        <w:t xml:space="preserve">, A., &amp; </w:t>
      </w:r>
      <w:proofErr w:type="spellStart"/>
      <w:r w:rsidRPr="00C60CC7">
        <w:rPr>
          <w:rFonts w:ascii="Times New Roman" w:eastAsia="Times New Roman" w:hAnsi="Times New Roman" w:cs="Times New Roman"/>
          <w:color w:val="222222"/>
          <w:sz w:val="27"/>
          <w:szCs w:val="27"/>
          <w:lang w:eastAsia="sl-SI"/>
        </w:rPr>
        <w:t>Kurtishaj</w:t>
      </w:r>
      <w:proofErr w:type="spellEnd"/>
      <w:r w:rsidRPr="00C60CC7">
        <w:rPr>
          <w:rFonts w:ascii="Times New Roman" w:eastAsia="Times New Roman" w:hAnsi="Times New Roman" w:cs="Times New Roman"/>
          <w:color w:val="222222"/>
          <w:sz w:val="27"/>
          <w:szCs w:val="27"/>
          <w:lang w:eastAsia="sl-SI"/>
        </w:rPr>
        <w:t xml:space="preserve">, L. (2024b). </w:t>
      </w:r>
      <w:proofErr w:type="spellStart"/>
      <w:r w:rsidRPr="00C60CC7">
        <w:rPr>
          <w:rFonts w:ascii="Times New Roman" w:eastAsia="Times New Roman" w:hAnsi="Times New Roman" w:cs="Times New Roman"/>
          <w:color w:val="222222"/>
          <w:sz w:val="27"/>
          <w:szCs w:val="27"/>
          <w:lang w:eastAsia="sl-SI"/>
        </w:rPr>
        <w:t>Youth</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classics</w:t>
      </w:r>
      <w:proofErr w:type="spellEnd"/>
      <w:r w:rsidRPr="00C60CC7">
        <w:rPr>
          <w:rFonts w:ascii="Times New Roman" w:eastAsia="Times New Roman" w:hAnsi="Times New Roman" w:cs="Times New Roman"/>
          <w:color w:val="222222"/>
          <w:sz w:val="27"/>
          <w:szCs w:val="27"/>
          <w:lang w:eastAsia="sl-SI"/>
        </w:rPr>
        <w:t xml:space="preserve"> in </w:t>
      </w:r>
      <w:proofErr w:type="spellStart"/>
      <w:r w:rsidRPr="00C60CC7">
        <w:rPr>
          <w:rFonts w:ascii="Times New Roman" w:eastAsia="Times New Roman" w:hAnsi="Times New Roman" w:cs="Times New Roman"/>
          <w:color w:val="222222"/>
          <w:sz w:val="27"/>
          <w:szCs w:val="27"/>
          <w:lang w:eastAsia="sl-SI"/>
        </w:rPr>
        <w:t>the</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Slovenian</w:t>
      </w:r>
      <w:proofErr w:type="spellEnd"/>
      <w:r w:rsidRPr="00C60CC7">
        <w:rPr>
          <w:rFonts w:ascii="Times New Roman" w:eastAsia="Times New Roman" w:hAnsi="Times New Roman" w:cs="Times New Roman"/>
          <w:color w:val="222222"/>
          <w:sz w:val="27"/>
          <w:szCs w:val="27"/>
          <w:lang w:eastAsia="sl-SI"/>
        </w:rPr>
        <w:t xml:space="preserve"> </w:t>
      </w:r>
      <w:proofErr w:type="spellStart"/>
      <w:r w:rsidRPr="00C60CC7">
        <w:rPr>
          <w:rFonts w:ascii="Times New Roman" w:eastAsia="Times New Roman" w:hAnsi="Times New Roman" w:cs="Times New Roman"/>
          <w:color w:val="222222"/>
          <w:sz w:val="27"/>
          <w:szCs w:val="27"/>
          <w:lang w:eastAsia="sl-SI"/>
        </w:rPr>
        <w:t>curriculum</w:t>
      </w:r>
      <w:proofErr w:type="spellEnd"/>
      <w:r w:rsidRPr="00C60CC7">
        <w:rPr>
          <w:rFonts w:ascii="Times New Roman" w:eastAsia="Times New Roman" w:hAnsi="Times New Roman" w:cs="Times New Roman"/>
          <w:color w:val="222222"/>
          <w:sz w:val="27"/>
          <w:szCs w:val="27"/>
          <w:lang w:eastAsia="sl-SI"/>
        </w:rPr>
        <w:t xml:space="preserve"> (1869–2024). </w:t>
      </w:r>
      <w:proofErr w:type="spellStart"/>
      <w:r w:rsidRPr="00C60CC7">
        <w:rPr>
          <w:rFonts w:ascii="Times New Roman" w:eastAsia="Times New Roman" w:hAnsi="Times New Roman" w:cs="Times New Roman"/>
          <w:i/>
          <w:iCs/>
          <w:color w:val="222222"/>
          <w:sz w:val="27"/>
          <w:szCs w:val="27"/>
          <w:lang w:eastAsia="sl-SI"/>
        </w:rPr>
        <w:t>Anglisticum</w:t>
      </w:r>
      <w:proofErr w:type="spellEnd"/>
      <w:r w:rsidRPr="00C60CC7">
        <w:rPr>
          <w:rFonts w:ascii="Times New Roman" w:eastAsia="Times New Roman" w:hAnsi="Times New Roman" w:cs="Times New Roman"/>
          <w:color w:val="222222"/>
          <w:sz w:val="27"/>
          <w:szCs w:val="27"/>
          <w:lang w:eastAsia="sl-SI"/>
        </w:rPr>
        <w:t>, 13(4), 11–21. </w:t>
      </w:r>
      <w:hyperlink r:id="rId12" w:tgtFrame="_blank" w:history="1">
        <w:r w:rsidRPr="00C60CC7">
          <w:rPr>
            <w:rFonts w:ascii="Times New Roman" w:eastAsia="Times New Roman" w:hAnsi="Times New Roman" w:cs="Times New Roman"/>
            <w:color w:val="1155CC"/>
            <w:sz w:val="27"/>
            <w:szCs w:val="27"/>
            <w:u w:val="single"/>
            <w:lang w:eastAsia="sl-SI"/>
          </w:rPr>
          <w:t>https://doi.org/10.58885/ijllis.v13i4.11mb</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(2025). Implicitni nebralec: književna vzgoja, kanon in institucionalno nebranje. V J. Jožef Beg in D. Divjak Race (ur.), </w:t>
      </w:r>
      <w:r w:rsidRPr="00C60CC7">
        <w:rPr>
          <w:rFonts w:ascii="Times New Roman" w:eastAsia="Times New Roman" w:hAnsi="Times New Roman" w:cs="Times New Roman"/>
          <w:i/>
          <w:iCs/>
          <w:color w:val="222222"/>
          <w:sz w:val="27"/>
          <w:szCs w:val="27"/>
          <w:lang w:eastAsia="sl-SI"/>
        </w:rPr>
        <w:t>Slavistično društvo Slovenije: slovenistika in slavistika 90 let kasneje</w:t>
      </w:r>
      <w:r w:rsidRPr="00C60CC7">
        <w:rPr>
          <w:rFonts w:ascii="Times New Roman" w:eastAsia="Times New Roman" w:hAnsi="Times New Roman" w:cs="Times New Roman"/>
          <w:color w:val="222222"/>
          <w:sz w:val="27"/>
          <w:szCs w:val="27"/>
          <w:lang w:eastAsia="sl-SI"/>
        </w:rPr>
        <w:t> (str. 93–104). Zveza društev Slavistično društvo Slovenije.</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(2026). Primož Trubar v učnih načrtih za slovenščino (1869–2025): literarna analiza kanonizacije. </w:t>
      </w:r>
      <w:r w:rsidRPr="00C60CC7">
        <w:rPr>
          <w:rFonts w:ascii="Times New Roman" w:eastAsia="Times New Roman" w:hAnsi="Times New Roman" w:cs="Times New Roman"/>
          <w:i/>
          <w:iCs/>
          <w:color w:val="222222"/>
          <w:sz w:val="27"/>
          <w:szCs w:val="27"/>
          <w:lang w:eastAsia="sl-SI"/>
        </w:rPr>
        <w:t>Lubi Slovenci</w:t>
      </w:r>
      <w:r w:rsidRPr="00C60CC7">
        <w:rPr>
          <w:rFonts w:ascii="Times New Roman" w:eastAsia="Times New Roman" w:hAnsi="Times New Roman" w:cs="Times New Roman"/>
          <w:color w:val="222222"/>
          <w:sz w:val="27"/>
          <w:szCs w:val="27"/>
          <w:lang w:eastAsia="sl-SI"/>
        </w:rPr>
        <w:t>, 30, 18–20.</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Blažić</w:t>
      </w:r>
      <w:proofErr w:type="spellEnd"/>
      <w:r w:rsidRPr="00C60CC7">
        <w:rPr>
          <w:rFonts w:ascii="Times New Roman" w:eastAsia="Times New Roman" w:hAnsi="Times New Roman" w:cs="Times New Roman"/>
          <w:color w:val="222222"/>
          <w:sz w:val="27"/>
          <w:szCs w:val="27"/>
          <w:lang w:eastAsia="sl-SI"/>
        </w:rPr>
        <w:t>, M. M., &amp; Žbogar, A. (2018). Pravljice in ljudsko literarno izročilo od vrtca do konca osnovne šole. V A. Žele in M. Šekli (ur.), </w:t>
      </w:r>
      <w:r w:rsidRPr="00C60CC7">
        <w:rPr>
          <w:rFonts w:ascii="Times New Roman" w:eastAsia="Times New Roman" w:hAnsi="Times New Roman" w:cs="Times New Roman"/>
          <w:i/>
          <w:iCs/>
          <w:color w:val="222222"/>
          <w:sz w:val="27"/>
          <w:szCs w:val="27"/>
          <w:lang w:eastAsia="sl-SI"/>
        </w:rPr>
        <w:t>Slovenistika in slavistika v zamejstvu – Videm</w:t>
      </w:r>
      <w:r w:rsidRPr="00C60CC7">
        <w:rPr>
          <w:rFonts w:ascii="Times New Roman" w:eastAsia="Times New Roman" w:hAnsi="Times New Roman" w:cs="Times New Roman"/>
          <w:color w:val="222222"/>
          <w:sz w:val="27"/>
          <w:szCs w:val="27"/>
          <w:lang w:eastAsia="sl-SI"/>
        </w:rPr>
        <w:t> (str. 221–231). Zveza društev Slavistično društvo Slovenije.</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Slovenia.si. (2026, 29. 1.). Kulturno leto 2026 – poklon pesniku Srečku Kosovelu in pisateljici Zofki Kveder. </w:t>
      </w:r>
      <w:hyperlink r:id="rId13" w:tgtFrame="_blank" w:history="1">
        <w:r w:rsidRPr="00C60CC7">
          <w:rPr>
            <w:rFonts w:ascii="Times New Roman" w:eastAsia="Times New Roman" w:hAnsi="Times New Roman" w:cs="Times New Roman"/>
            <w:color w:val="1155CC"/>
            <w:sz w:val="27"/>
            <w:szCs w:val="27"/>
            <w:u w:val="single"/>
            <w:lang w:eastAsia="sl-SI"/>
          </w:rPr>
          <w:t>https://slovenia.si/sl/umetnost-in-kulturna-dediscina/kulturno-leto-2026-poklon-pesniku-srecku-kosovelu-in-pisateljici-zofki-kveder</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 xml:space="preserve">Delo. (2026). Šola, izobraževanje, šolstvo, znanje: Borut </w:t>
      </w:r>
      <w:proofErr w:type="spellStart"/>
      <w:r w:rsidRPr="00C60CC7">
        <w:rPr>
          <w:rFonts w:ascii="Times New Roman" w:eastAsia="Times New Roman" w:hAnsi="Times New Roman" w:cs="Times New Roman"/>
          <w:color w:val="222222"/>
          <w:sz w:val="27"/>
          <w:szCs w:val="27"/>
          <w:lang w:eastAsia="sl-SI"/>
        </w:rPr>
        <w:t>Rončević</w:t>
      </w:r>
      <w:proofErr w:type="spellEnd"/>
      <w:r w:rsidRPr="00C60CC7">
        <w:rPr>
          <w:rFonts w:ascii="Times New Roman" w:eastAsia="Times New Roman" w:hAnsi="Times New Roman" w:cs="Times New Roman"/>
          <w:color w:val="222222"/>
          <w:sz w:val="27"/>
          <w:szCs w:val="27"/>
          <w:lang w:eastAsia="sl-SI"/>
        </w:rPr>
        <w:t>, minister [predstavitev pred odborom DZ]. </w:t>
      </w:r>
      <w:hyperlink r:id="rId14" w:tgtFrame="_blank" w:history="1">
        <w:r w:rsidRPr="00C60CC7">
          <w:rPr>
            <w:rFonts w:ascii="Times New Roman" w:eastAsia="Times New Roman" w:hAnsi="Times New Roman" w:cs="Times New Roman"/>
            <w:color w:val="1155CC"/>
            <w:sz w:val="27"/>
            <w:szCs w:val="27"/>
            <w:u w:val="single"/>
            <w:lang w:eastAsia="sl-SI"/>
          </w:rPr>
          <w:t>https://www.delo.si/novice/slovenija/sola-izobrazevanje-solstvo-znanje-borut-roncevic-minister</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Haramija</w:t>
      </w:r>
      <w:proofErr w:type="spellEnd"/>
      <w:r w:rsidRPr="00C60CC7">
        <w:rPr>
          <w:rFonts w:ascii="Times New Roman" w:eastAsia="Times New Roman" w:hAnsi="Times New Roman" w:cs="Times New Roman"/>
          <w:color w:val="222222"/>
          <w:sz w:val="27"/>
          <w:szCs w:val="27"/>
          <w:lang w:eastAsia="sl-SI"/>
        </w:rPr>
        <w:t>, D. (2018). Dejavniki bralne pismenosti in družinskega branja v otrokovem predšolskem obdobju. </w:t>
      </w:r>
      <w:r w:rsidRPr="00C60CC7">
        <w:rPr>
          <w:rFonts w:ascii="Times New Roman" w:eastAsia="Times New Roman" w:hAnsi="Times New Roman" w:cs="Times New Roman"/>
          <w:i/>
          <w:iCs/>
          <w:color w:val="222222"/>
          <w:sz w:val="27"/>
          <w:szCs w:val="27"/>
          <w:lang w:eastAsia="sl-SI"/>
        </w:rPr>
        <w:t>Jezik in slovstvo</w:t>
      </w:r>
      <w:r w:rsidRPr="00C60CC7">
        <w:rPr>
          <w:rFonts w:ascii="Times New Roman" w:eastAsia="Times New Roman" w:hAnsi="Times New Roman" w:cs="Times New Roman"/>
          <w:color w:val="222222"/>
          <w:sz w:val="27"/>
          <w:szCs w:val="27"/>
          <w:lang w:eastAsia="sl-SI"/>
        </w:rPr>
        <w:t>, 63(4), 3–15. </w:t>
      </w:r>
      <w:hyperlink r:id="rId15" w:tgtFrame="_blank" w:history="1">
        <w:r w:rsidRPr="00C60CC7">
          <w:rPr>
            <w:rFonts w:ascii="Times New Roman" w:eastAsia="Times New Roman" w:hAnsi="Times New Roman" w:cs="Times New Roman"/>
            <w:color w:val="1155CC"/>
            <w:sz w:val="27"/>
            <w:szCs w:val="27"/>
            <w:u w:val="single"/>
            <w:lang w:eastAsia="sl-SI"/>
          </w:rPr>
          <w:t>https://journals.uni-lj.si/jezikinslovstvo/article/view/17797</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Haramija</w:t>
      </w:r>
      <w:proofErr w:type="spellEnd"/>
      <w:r w:rsidRPr="00C60CC7">
        <w:rPr>
          <w:rFonts w:ascii="Times New Roman" w:eastAsia="Times New Roman" w:hAnsi="Times New Roman" w:cs="Times New Roman"/>
          <w:color w:val="222222"/>
          <w:sz w:val="27"/>
          <w:szCs w:val="27"/>
          <w:lang w:eastAsia="sl-SI"/>
        </w:rPr>
        <w:t xml:space="preserve">, D., Fras Popović, S., Pečjak, S., Ivanuš Grmek, M., </w:t>
      </w:r>
      <w:proofErr w:type="spellStart"/>
      <w:r w:rsidRPr="00C60CC7">
        <w:rPr>
          <w:rFonts w:ascii="Times New Roman" w:eastAsia="Times New Roman" w:hAnsi="Times New Roman" w:cs="Times New Roman"/>
          <w:color w:val="222222"/>
          <w:sz w:val="27"/>
          <w:szCs w:val="27"/>
          <w:lang w:eastAsia="sl-SI"/>
        </w:rPr>
        <w:t>Javrh</w:t>
      </w:r>
      <w:proofErr w:type="spellEnd"/>
      <w:r w:rsidRPr="00C60CC7">
        <w:rPr>
          <w:rFonts w:ascii="Times New Roman" w:eastAsia="Times New Roman" w:hAnsi="Times New Roman" w:cs="Times New Roman"/>
          <w:color w:val="222222"/>
          <w:sz w:val="27"/>
          <w:szCs w:val="27"/>
          <w:lang w:eastAsia="sl-SI"/>
        </w:rPr>
        <w:t xml:space="preserve">, P., Jančič </w:t>
      </w:r>
      <w:proofErr w:type="spellStart"/>
      <w:r w:rsidRPr="00C60CC7">
        <w:rPr>
          <w:rFonts w:ascii="Times New Roman" w:eastAsia="Times New Roman" w:hAnsi="Times New Roman" w:cs="Times New Roman"/>
          <w:color w:val="222222"/>
          <w:sz w:val="27"/>
          <w:szCs w:val="27"/>
          <w:lang w:eastAsia="sl-SI"/>
        </w:rPr>
        <w:t>Hegediš</w:t>
      </w:r>
      <w:proofErr w:type="spellEnd"/>
      <w:r w:rsidRPr="00C60CC7">
        <w:rPr>
          <w:rFonts w:ascii="Times New Roman" w:eastAsia="Times New Roman" w:hAnsi="Times New Roman" w:cs="Times New Roman"/>
          <w:color w:val="222222"/>
          <w:sz w:val="27"/>
          <w:szCs w:val="27"/>
          <w:lang w:eastAsia="sl-SI"/>
        </w:rPr>
        <w:t xml:space="preserve">, P., Jug, T., Kovač, M., </w:t>
      </w:r>
      <w:proofErr w:type="spellStart"/>
      <w:r w:rsidRPr="00C60CC7">
        <w:rPr>
          <w:rFonts w:ascii="Times New Roman" w:eastAsia="Times New Roman" w:hAnsi="Times New Roman" w:cs="Times New Roman"/>
          <w:color w:val="222222"/>
          <w:sz w:val="27"/>
          <w:szCs w:val="27"/>
          <w:lang w:eastAsia="sl-SI"/>
        </w:rPr>
        <w:t>Licardo</w:t>
      </w:r>
      <w:proofErr w:type="spellEnd"/>
      <w:r w:rsidRPr="00C60CC7">
        <w:rPr>
          <w:rFonts w:ascii="Times New Roman" w:eastAsia="Times New Roman" w:hAnsi="Times New Roman" w:cs="Times New Roman"/>
          <w:color w:val="222222"/>
          <w:sz w:val="27"/>
          <w:szCs w:val="27"/>
          <w:lang w:eastAsia="sl-SI"/>
        </w:rPr>
        <w:t xml:space="preserve">, M., </w:t>
      </w:r>
      <w:proofErr w:type="spellStart"/>
      <w:r w:rsidRPr="00C60CC7">
        <w:rPr>
          <w:rFonts w:ascii="Times New Roman" w:eastAsia="Times New Roman" w:hAnsi="Times New Roman" w:cs="Times New Roman"/>
          <w:color w:val="222222"/>
          <w:sz w:val="27"/>
          <w:szCs w:val="27"/>
          <w:lang w:eastAsia="sl-SI"/>
        </w:rPr>
        <w:t>Mithans</w:t>
      </w:r>
      <w:proofErr w:type="spellEnd"/>
      <w:r w:rsidRPr="00C60CC7">
        <w:rPr>
          <w:rFonts w:ascii="Times New Roman" w:eastAsia="Times New Roman" w:hAnsi="Times New Roman" w:cs="Times New Roman"/>
          <w:color w:val="222222"/>
          <w:sz w:val="27"/>
          <w:szCs w:val="27"/>
          <w:lang w:eastAsia="sl-SI"/>
        </w:rPr>
        <w:t xml:space="preserve">, M., Puncer, M., Šek, P., Usenik, J., Vilar, P., Švab, K., Voršič, I., &amp; </w:t>
      </w:r>
      <w:proofErr w:type="spellStart"/>
      <w:r w:rsidRPr="00C60CC7">
        <w:rPr>
          <w:rFonts w:ascii="Times New Roman" w:eastAsia="Times New Roman" w:hAnsi="Times New Roman" w:cs="Times New Roman"/>
          <w:color w:val="222222"/>
          <w:sz w:val="27"/>
          <w:szCs w:val="27"/>
          <w:lang w:eastAsia="sl-SI"/>
        </w:rPr>
        <w:t>Ograjšek</w:t>
      </w:r>
      <w:proofErr w:type="spellEnd"/>
      <w:r w:rsidRPr="00C60CC7">
        <w:rPr>
          <w:rFonts w:ascii="Times New Roman" w:eastAsia="Times New Roman" w:hAnsi="Times New Roman" w:cs="Times New Roman"/>
          <w:color w:val="222222"/>
          <w:sz w:val="27"/>
          <w:szCs w:val="27"/>
          <w:lang w:eastAsia="sl-SI"/>
        </w:rPr>
        <w:t>, S. (2025). </w:t>
      </w:r>
      <w:r w:rsidRPr="00C60CC7">
        <w:rPr>
          <w:rFonts w:ascii="Times New Roman" w:eastAsia="Times New Roman" w:hAnsi="Times New Roman" w:cs="Times New Roman"/>
          <w:i/>
          <w:iCs/>
          <w:color w:val="222222"/>
          <w:sz w:val="27"/>
          <w:szCs w:val="27"/>
          <w:lang w:eastAsia="sl-SI"/>
        </w:rPr>
        <w:t>Bralni vzori: Bralne navade strokovnih delavcev v vrtcih, šolah ter knjižnicah</w:t>
      </w:r>
      <w:r w:rsidRPr="00C60CC7">
        <w:rPr>
          <w:rFonts w:ascii="Times New Roman" w:eastAsia="Times New Roman" w:hAnsi="Times New Roman" w:cs="Times New Roman"/>
          <w:color w:val="222222"/>
          <w:sz w:val="27"/>
          <w:szCs w:val="27"/>
          <w:lang w:eastAsia="sl-SI"/>
        </w:rPr>
        <w:t>. Univerzitetna založba Univerze v Mariboru. </w:t>
      </w:r>
      <w:hyperlink r:id="rId16" w:tgtFrame="_blank" w:history="1">
        <w:r w:rsidRPr="00C60CC7">
          <w:rPr>
            <w:rFonts w:ascii="Times New Roman" w:eastAsia="Times New Roman" w:hAnsi="Times New Roman" w:cs="Times New Roman"/>
            <w:color w:val="1155CC"/>
            <w:sz w:val="27"/>
            <w:szCs w:val="27"/>
            <w:u w:val="single"/>
            <w:lang w:eastAsia="sl-SI"/>
          </w:rPr>
          <w:t>https://press.um.si/index.php/ump/catalog/book/968</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lastRenderedPageBreak/>
        <w:t>Juvan, M. (2005). Kulturni spomin in literatura. </w:t>
      </w:r>
      <w:r w:rsidRPr="00C60CC7">
        <w:rPr>
          <w:rFonts w:ascii="Times New Roman" w:eastAsia="Times New Roman" w:hAnsi="Times New Roman" w:cs="Times New Roman"/>
          <w:i/>
          <w:iCs/>
          <w:color w:val="222222"/>
          <w:sz w:val="27"/>
          <w:szCs w:val="27"/>
          <w:lang w:eastAsia="sl-SI"/>
        </w:rPr>
        <w:t>Slavistična revija</w:t>
      </w:r>
      <w:r w:rsidRPr="00C60CC7">
        <w:rPr>
          <w:rFonts w:ascii="Times New Roman" w:eastAsia="Times New Roman" w:hAnsi="Times New Roman" w:cs="Times New Roman"/>
          <w:color w:val="222222"/>
          <w:sz w:val="27"/>
          <w:szCs w:val="27"/>
          <w:lang w:eastAsia="sl-SI"/>
        </w:rPr>
        <w:t>, 53(3), 379–400.</w:t>
      </w:r>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r w:rsidRPr="00C60CC7">
        <w:rPr>
          <w:rFonts w:ascii="Times New Roman" w:eastAsia="Times New Roman" w:hAnsi="Times New Roman" w:cs="Times New Roman"/>
          <w:color w:val="222222"/>
          <w:sz w:val="27"/>
          <w:szCs w:val="27"/>
          <w:lang w:eastAsia="sl-SI"/>
        </w:rPr>
        <w:t>Ministrstvo za izobraževanje, znanost in mladino. (2026). Minister dr. Borut Rončević. </w:t>
      </w:r>
      <w:hyperlink r:id="rId17" w:tgtFrame="_blank" w:history="1">
        <w:r w:rsidRPr="00C60CC7">
          <w:rPr>
            <w:rFonts w:ascii="Times New Roman" w:eastAsia="Times New Roman" w:hAnsi="Times New Roman" w:cs="Times New Roman"/>
            <w:color w:val="1155CC"/>
            <w:sz w:val="27"/>
            <w:szCs w:val="27"/>
            <w:u w:val="single"/>
            <w:lang w:eastAsia="sl-SI"/>
          </w:rPr>
          <w:t>gov.si</w:t>
        </w:r>
      </w:hyperlink>
      <w:r w:rsidRPr="00C60CC7">
        <w:rPr>
          <w:rFonts w:ascii="Times New Roman" w:eastAsia="Times New Roman" w:hAnsi="Times New Roman" w:cs="Times New Roman"/>
          <w:color w:val="222222"/>
          <w:sz w:val="27"/>
          <w:szCs w:val="27"/>
          <w:lang w:eastAsia="sl-SI"/>
        </w:rPr>
        <w:t>. </w:t>
      </w:r>
      <w:hyperlink r:id="rId18" w:tgtFrame="_blank" w:history="1">
        <w:r w:rsidRPr="00C60CC7">
          <w:rPr>
            <w:rFonts w:ascii="Times New Roman" w:eastAsia="Times New Roman" w:hAnsi="Times New Roman" w:cs="Times New Roman"/>
            <w:color w:val="1155CC"/>
            <w:sz w:val="27"/>
            <w:szCs w:val="27"/>
            <w:u w:val="single"/>
            <w:lang w:eastAsia="sl-SI"/>
          </w:rPr>
          <w:t>https://www.gov.si/drzavni-organi/ministrstva/ministrstvo-za-izobrazevanje-znanost-in-mladino/</w:t>
        </w:r>
      </w:hyperlink>
    </w:p>
    <w:p w:rsidR="00C60CC7" w:rsidRPr="00C60CC7" w:rsidRDefault="00C60CC7" w:rsidP="00C60CC7">
      <w:pPr>
        <w:shd w:val="clear" w:color="auto" w:fill="FFFFFF"/>
        <w:spacing w:after="120" w:line="360" w:lineRule="atLeast"/>
        <w:ind w:left="720"/>
        <w:rPr>
          <w:rFonts w:ascii="Times New Roman" w:eastAsia="Times New Roman" w:hAnsi="Times New Roman" w:cs="Times New Roman"/>
          <w:color w:val="222222"/>
          <w:sz w:val="27"/>
          <w:szCs w:val="27"/>
          <w:lang w:eastAsia="sl-SI"/>
        </w:rPr>
      </w:pPr>
      <w:proofErr w:type="spellStart"/>
      <w:r w:rsidRPr="00C60CC7">
        <w:rPr>
          <w:rFonts w:ascii="Times New Roman" w:eastAsia="Times New Roman" w:hAnsi="Times New Roman" w:cs="Times New Roman"/>
          <w:color w:val="222222"/>
          <w:sz w:val="27"/>
          <w:szCs w:val="27"/>
          <w:lang w:eastAsia="sl-SI"/>
        </w:rPr>
        <w:t>Rončević</w:t>
      </w:r>
      <w:proofErr w:type="spellEnd"/>
      <w:r w:rsidRPr="00C60CC7">
        <w:rPr>
          <w:rFonts w:ascii="Times New Roman" w:eastAsia="Times New Roman" w:hAnsi="Times New Roman" w:cs="Times New Roman"/>
          <w:color w:val="222222"/>
          <w:sz w:val="27"/>
          <w:szCs w:val="27"/>
          <w:lang w:eastAsia="sl-SI"/>
        </w:rPr>
        <w:t>, B. (2026). </w:t>
      </w:r>
      <w:r w:rsidRPr="00C60CC7">
        <w:rPr>
          <w:rFonts w:ascii="Times New Roman" w:eastAsia="Times New Roman" w:hAnsi="Times New Roman" w:cs="Times New Roman"/>
          <w:i/>
          <w:iCs/>
          <w:color w:val="222222"/>
          <w:sz w:val="27"/>
          <w:szCs w:val="27"/>
          <w:lang w:eastAsia="sl-SI"/>
        </w:rPr>
        <w:t>Izjava ministra za izobraževanje, znanost in mladino</w:t>
      </w:r>
      <w:r w:rsidRPr="00C60CC7">
        <w:rPr>
          <w:rFonts w:ascii="Times New Roman" w:eastAsia="Times New Roman" w:hAnsi="Times New Roman" w:cs="Times New Roman"/>
          <w:color w:val="222222"/>
          <w:sz w:val="27"/>
          <w:szCs w:val="27"/>
          <w:lang w:eastAsia="sl-SI"/>
        </w:rPr>
        <w:t> [delovno besedilo, .</w:t>
      </w:r>
      <w:proofErr w:type="spellStart"/>
      <w:r w:rsidRPr="00C60CC7">
        <w:rPr>
          <w:rFonts w:ascii="Times New Roman" w:eastAsia="Times New Roman" w:hAnsi="Times New Roman" w:cs="Times New Roman"/>
          <w:color w:val="222222"/>
          <w:sz w:val="27"/>
          <w:szCs w:val="27"/>
          <w:lang w:eastAsia="sl-SI"/>
        </w:rPr>
        <w:t>docx</w:t>
      </w:r>
      <w:proofErr w:type="spellEnd"/>
      <w:r w:rsidRPr="00C60CC7">
        <w:rPr>
          <w:rFonts w:ascii="Times New Roman" w:eastAsia="Times New Roman" w:hAnsi="Times New Roman" w:cs="Times New Roman"/>
          <w:color w:val="222222"/>
          <w:sz w:val="27"/>
          <w:szCs w:val="27"/>
          <w:lang w:eastAsia="sl-SI"/>
        </w:rPr>
        <w:t>; datum 10. 9. 2026 po metapodatkih datoteke; 131 oštevilčenih odstavkov; oštevilčenje je avtoričino].</w:t>
      </w:r>
    </w:p>
    <w:p w:rsidR="00C60CC7" w:rsidRPr="00C60CC7" w:rsidRDefault="00C60CC7" w:rsidP="00C60CC7">
      <w:pPr>
        <w:shd w:val="clear" w:color="auto" w:fill="FFFFFF"/>
        <w:spacing w:after="240" w:line="240" w:lineRule="auto"/>
        <w:rPr>
          <w:rFonts w:ascii="Arial" w:eastAsia="Times New Roman" w:hAnsi="Arial" w:cs="Arial"/>
          <w:color w:val="000000"/>
          <w:sz w:val="24"/>
          <w:szCs w:val="24"/>
          <w:lang w:eastAsia="sl-SI"/>
        </w:rPr>
      </w:pPr>
      <w:r w:rsidRPr="00C60CC7">
        <w:rPr>
          <w:rFonts w:ascii="Arial" w:eastAsia="Times New Roman" w:hAnsi="Arial" w:cs="Arial"/>
          <w:color w:val="000000"/>
          <w:sz w:val="24"/>
          <w:szCs w:val="24"/>
          <w:lang w:eastAsia="sl-SI"/>
        </w:rPr>
        <w:t>——————————————————</w:t>
      </w:r>
      <w:r w:rsidRPr="00C60CC7">
        <w:rPr>
          <w:rFonts w:ascii="Arial" w:eastAsia="Times New Roman" w:hAnsi="Arial" w:cs="Arial"/>
          <w:color w:val="000000"/>
          <w:sz w:val="24"/>
          <w:szCs w:val="24"/>
          <w:lang w:eastAsia="sl-SI"/>
        </w:rPr>
        <w:br/>
      </w:r>
      <w:r w:rsidRPr="00C60CC7">
        <w:rPr>
          <w:rFonts w:ascii="Arial" w:eastAsia="Times New Roman" w:hAnsi="Arial" w:cs="Arial"/>
          <w:color w:val="000000"/>
          <w:sz w:val="24"/>
          <w:szCs w:val="24"/>
          <w:lang w:eastAsia="sl-SI"/>
        </w:rPr>
        <w:br/>
      </w:r>
    </w:p>
    <w:p w:rsidR="00C60CC7" w:rsidRPr="00C60CC7" w:rsidRDefault="00C60CC7" w:rsidP="00C60CC7">
      <w:pPr>
        <w:shd w:val="clear" w:color="auto" w:fill="FFFFFF"/>
        <w:spacing w:after="240" w:line="300" w:lineRule="atLeast"/>
        <w:rPr>
          <w:rFonts w:ascii="Segoe UI" w:eastAsia="Times New Roman" w:hAnsi="Segoe UI" w:cs="Segoe UI"/>
          <w:color w:val="000000"/>
          <w:sz w:val="21"/>
          <w:szCs w:val="21"/>
          <w:lang w:eastAsia="sl-SI"/>
        </w:rPr>
      </w:pPr>
      <w:r w:rsidRPr="00C60CC7">
        <w:rPr>
          <w:rFonts w:ascii="Helvetica" w:eastAsia="Times New Roman" w:hAnsi="Helvetica" w:cs="Segoe UI"/>
          <w:color w:val="000000"/>
          <w:sz w:val="18"/>
          <w:szCs w:val="18"/>
          <w:lang w:eastAsia="sl-SI"/>
        </w:rPr>
        <w:t>——————————————————</w:t>
      </w:r>
    </w:p>
    <w:tbl>
      <w:tblPr>
        <w:tblW w:w="0" w:type="auto"/>
        <w:tblCellSpacing w:w="15" w:type="dxa"/>
        <w:tblCellMar>
          <w:left w:w="0" w:type="dxa"/>
          <w:right w:w="0" w:type="dxa"/>
        </w:tblCellMar>
        <w:tblLook w:val="04A0" w:firstRow="1" w:lastRow="0" w:firstColumn="1" w:lastColumn="0" w:noHBand="0" w:noVBand="1"/>
      </w:tblPr>
      <w:tblGrid>
        <w:gridCol w:w="1652"/>
        <w:gridCol w:w="4652"/>
      </w:tblGrid>
      <w:tr w:rsidR="00C60CC7" w:rsidRPr="00C60CC7" w:rsidTr="00C60CC7">
        <w:trPr>
          <w:trHeight w:val="300"/>
          <w:tblCellSpacing w:w="15" w:type="dxa"/>
        </w:trPr>
        <w:tc>
          <w:tcPr>
            <w:tcW w:w="0" w:type="auto"/>
            <w:tcMar>
              <w:top w:w="30" w:type="dxa"/>
              <w:left w:w="30" w:type="dxa"/>
              <w:bottom w:w="30" w:type="dxa"/>
              <w:right w:w="225" w:type="dxa"/>
            </w:tcMar>
            <w:hideMark/>
          </w:tcPr>
          <w:p w:rsidR="00C60CC7" w:rsidRPr="00C60CC7" w:rsidRDefault="00C60CC7" w:rsidP="00C60CC7">
            <w:pPr>
              <w:spacing w:after="0" w:line="240" w:lineRule="auto"/>
              <w:jc w:val="center"/>
              <w:rPr>
                <w:rFonts w:ascii="Times New Roman" w:eastAsia="Times New Roman" w:hAnsi="Times New Roman" w:cs="Times New Roman"/>
                <w:sz w:val="24"/>
                <w:szCs w:val="24"/>
                <w:lang w:eastAsia="sl-SI"/>
              </w:rPr>
            </w:pPr>
            <w:r w:rsidRPr="00C60CC7">
              <w:rPr>
                <w:rFonts w:ascii="Garamond" w:eastAsia="Times New Roman" w:hAnsi="Garamond" w:cs="Times New Roman"/>
                <w:sz w:val="18"/>
                <w:szCs w:val="18"/>
                <w:lang w:eastAsia="sl-SI"/>
              </w:rPr>
              <w:br/>
              <w:t>Univerza</w:t>
            </w:r>
            <w:r w:rsidRPr="00C60CC7">
              <w:rPr>
                <w:rFonts w:ascii="Garamond" w:eastAsia="Times New Roman" w:hAnsi="Garamond" w:cs="Times New Roman"/>
                <w:i/>
                <w:iCs/>
                <w:sz w:val="18"/>
                <w:szCs w:val="18"/>
                <w:lang w:eastAsia="sl-SI"/>
              </w:rPr>
              <w:t> v Ljubljani</w:t>
            </w:r>
            <w:r w:rsidRPr="00C60CC7">
              <w:rPr>
                <w:rFonts w:ascii="Garamond" w:eastAsia="Times New Roman" w:hAnsi="Garamond" w:cs="Times New Roman"/>
                <w:sz w:val="18"/>
                <w:szCs w:val="18"/>
                <w:lang w:eastAsia="sl-SI"/>
              </w:rPr>
              <w:br/>
              <w:t>Pedagoška </w:t>
            </w:r>
            <w:r w:rsidRPr="00C60CC7">
              <w:rPr>
                <w:rFonts w:ascii="Garamond" w:eastAsia="Times New Roman" w:hAnsi="Garamond" w:cs="Times New Roman"/>
                <w:i/>
                <w:iCs/>
                <w:sz w:val="18"/>
                <w:szCs w:val="18"/>
                <w:lang w:eastAsia="sl-SI"/>
              </w:rPr>
              <w:t>fakulteta</w:t>
            </w:r>
          </w:p>
        </w:tc>
        <w:tc>
          <w:tcPr>
            <w:tcW w:w="0" w:type="auto"/>
            <w:vMerge w:val="restart"/>
            <w:tcBorders>
              <w:top w:val="nil"/>
              <w:left w:val="single" w:sz="8" w:space="0" w:color="DFE0E0"/>
              <w:bottom w:val="nil"/>
              <w:right w:val="nil"/>
            </w:tcBorders>
            <w:tcMar>
              <w:top w:w="30" w:type="dxa"/>
              <w:left w:w="225" w:type="dxa"/>
              <w:bottom w:w="30" w:type="dxa"/>
              <w:right w:w="30" w:type="dxa"/>
            </w:tcMar>
            <w:hideMark/>
          </w:tcPr>
          <w:p w:rsidR="00C60CC7" w:rsidRPr="00C60CC7" w:rsidRDefault="00C60CC7" w:rsidP="00C60CC7">
            <w:pPr>
              <w:spacing w:after="0" w:line="240" w:lineRule="auto"/>
              <w:rPr>
                <w:rFonts w:ascii="Times New Roman" w:eastAsia="Times New Roman" w:hAnsi="Times New Roman" w:cs="Times New Roman"/>
                <w:sz w:val="24"/>
                <w:szCs w:val="24"/>
                <w:lang w:eastAsia="sl-SI"/>
              </w:rPr>
            </w:pPr>
            <w:r w:rsidRPr="00C60CC7">
              <w:rPr>
                <w:rFonts w:ascii="Garamond" w:eastAsia="Times New Roman" w:hAnsi="Garamond" w:cs="Times New Roman"/>
                <w:sz w:val="18"/>
                <w:szCs w:val="18"/>
                <w:lang w:eastAsia="sl-SI"/>
              </w:rPr>
              <w:t>prof. dr. </w:t>
            </w:r>
            <w:r w:rsidRPr="00C60CC7">
              <w:rPr>
                <w:rFonts w:ascii="Garamond" w:eastAsia="Times New Roman" w:hAnsi="Garamond" w:cs="Times New Roman"/>
                <w:color w:val="DF3127"/>
                <w:sz w:val="18"/>
                <w:szCs w:val="18"/>
                <w:lang w:eastAsia="sl-SI"/>
              </w:rPr>
              <w:t xml:space="preserve">Milena Mileva </w:t>
            </w:r>
            <w:proofErr w:type="spellStart"/>
            <w:r w:rsidRPr="00C60CC7">
              <w:rPr>
                <w:rFonts w:ascii="Garamond" w:eastAsia="Times New Roman" w:hAnsi="Garamond" w:cs="Times New Roman"/>
                <w:color w:val="DF3127"/>
                <w:sz w:val="18"/>
                <w:szCs w:val="18"/>
                <w:lang w:eastAsia="sl-SI"/>
              </w:rPr>
              <w:t>Blažić</w:t>
            </w:r>
            <w:proofErr w:type="spellEnd"/>
            <w:r w:rsidRPr="00C60CC7">
              <w:rPr>
                <w:rFonts w:ascii="Garamond" w:eastAsia="Times New Roman" w:hAnsi="Garamond" w:cs="Times New Roman"/>
                <w:sz w:val="18"/>
                <w:szCs w:val="18"/>
                <w:lang w:eastAsia="sl-SI"/>
              </w:rPr>
              <w:t> </w:t>
            </w:r>
            <w:r w:rsidRPr="00C60CC7">
              <w:rPr>
                <w:rFonts w:ascii="Garamond" w:eastAsia="Times New Roman" w:hAnsi="Garamond" w:cs="Times New Roman"/>
                <w:sz w:val="18"/>
                <w:szCs w:val="18"/>
                <w:lang w:eastAsia="sl-SI"/>
              </w:rPr>
              <w:br/>
            </w:r>
            <w:r w:rsidRPr="00C60CC7">
              <w:rPr>
                <w:rFonts w:ascii="Garamond" w:eastAsia="Times New Roman" w:hAnsi="Garamond" w:cs="Times New Roman"/>
                <w:sz w:val="18"/>
                <w:szCs w:val="18"/>
                <w:lang w:eastAsia="sl-SI"/>
              </w:rPr>
              <w:br/>
            </w:r>
            <w:r w:rsidRPr="00C60CC7">
              <w:rPr>
                <w:rFonts w:ascii="Garamond" w:eastAsia="Times New Roman" w:hAnsi="Garamond" w:cs="Times New Roman"/>
                <w:sz w:val="18"/>
                <w:szCs w:val="18"/>
                <w:lang w:eastAsia="sl-SI"/>
              </w:rPr>
              <w:br/>
            </w:r>
            <w:proofErr w:type="spellStart"/>
            <w:r w:rsidRPr="00C60CC7">
              <w:rPr>
                <w:rFonts w:ascii="Garamond" w:eastAsia="Times New Roman" w:hAnsi="Garamond" w:cs="Times New Roman"/>
                <w:i/>
                <w:iCs/>
                <w:sz w:val="18"/>
                <w:szCs w:val="18"/>
                <w:lang w:eastAsia="sl-SI"/>
              </w:rPr>
              <w:t>Odddelek</w:t>
            </w:r>
            <w:proofErr w:type="spellEnd"/>
            <w:r w:rsidRPr="00C60CC7">
              <w:rPr>
                <w:rFonts w:ascii="Garamond" w:eastAsia="Times New Roman" w:hAnsi="Garamond" w:cs="Times New Roman"/>
                <w:i/>
                <w:iCs/>
                <w:sz w:val="18"/>
                <w:szCs w:val="18"/>
                <w:lang w:eastAsia="sl-SI"/>
              </w:rPr>
              <w:t xml:space="preserve"> za razredni pouk</w:t>
            </w:r>
            <w:r w:rsidRPr="00C60CC7">
              <w:rPr>
                <w:rFonts w:ascii="Garamond" w:eastAsia="Times New Roman" w:hAnsi="Garamond" w:cs="Times New Roman"/>
                <w:sz w:val="18"/>
                <w:szCs w:val="18"/>
                <w:lang w:eastAsia="sl-SI"/>
              </w:rPr>
              <w:t> / </w:t>
            </w:r>
            <w:proofErr w:type="spellStart"/>
            <w:r w:rsidRPr="00C60CC7">
              <w:rPr>
                <w:rFonts w:ascii="Garamond" w:eastAsia="Times New Roman" w:hAnsi="Garamond" w:cs="Times New Roman"/>
                <w:i/>
                <w:iCs/>
                <w:color w:val="6D6E71"/>
                <w:sz w:val="18"/>
                <w:szCs w:val="18"/>
                <w:lang w:eastAsia="sl-SI"/>
              </w:rPr>
              <w:t>Primary</w:t>
            </w:r>
            <w:proofErr w:type="spellEnd"/>
            <w:r w:rsidRPr="00C60CC7">
              <w:rPr>
                <w:rFonts w:ascii="Garamond" w:eastAsia="Times New Roman" w:hAnsi="Garamond" w:cs="Times New Roman"/>
                <w:i/>
                <w:iCs/>
                <w:color w:val="6D6E71"/>
                <w:sz w:val="18"/>
                <w:szCs w:val="18"/>
                <w:lang w:eastAsia="sl-SI"/>
              </w:rPr>
              <w:t xml:space="preserve"> </w:t>
            </w:r>
            <w:proofErr w:type="spellStart"/>
            <w:r w:rsidRPr="00C60CC7">
              <w:rPr>
                <w:rFonts w:ascii="Garamond" w:eastAsia="Times New Roman" w:hAnsi="Garamond" w:cs="Times New Roman"/>
                <w:i/>
                <w:iCs/>
                <w:color w:val="6D6E71"/>
                <w:sz w:val="18"/>
                <w:szCs w:val="18"/>
                <w:lang w:eastAsia="sl-SI"/>
              </w:rPr>
              <w:t>Teacher</w:t>
            </w:r>
            <w:proofErr w:type="spellEnd"/>
            <w:r w:rsidRPr="00C60CC7">
              <w:rPr>
                <w:rFonts w:ascii="Garamond" w:eastAsia="Times New Roman" w:hAnsi="Garamond" w:cs="Times New Roman"/>
                <w:i/>
                <w:iCs/>
                <w:color w:val="6D6E71"/>
                <w:sz w:val="18"/>
                <w:szCs w:val="18"/>
                <w:lang w:eastAsia="sl-SI"/>
              </w:rPr>
              <w:t xml:space="preserve"> </w:t>
            </w:r>
            <w:proofErr w:type="spellStart"/>
            <w:r w:rsidRPr="00C60CC7">
              <w:rPr>
                <w:rFonts w:ascii="Garamond" w:eastAsia="Times New Roman" w:hAnsi="Garamond" w:cs="Times New Roman"/>
                <w:i/>
                <w:iCs/>
                <w:color w:val="6D6E71"/>
                <w:sz w:val="18"/>
                <w:szCs w:val="18"/>
                <w:lang w:eastAsia="sl-SI"/>
              </w:rPr>
              <w:t>Education</w:t>
            </w:r>
            <w:proofErr w:type="spellEnd"/>
            <w:r w:rsidRPr="00C60CC7">
              <w:rPr>
                <w:rFonts w:ascii="Garamond" w:eastAsia="Times New Roman" w:hAnsi="Garamond" w:cs="Times New Roman"/>
                <w:sz w:val="18"/>
                <w:szCs w:val="18"/>
                <w:lang w:eastAsia="sl-SI"/>
              </w:rPr>
              <w:br/>
            </w:r>
            <w:r w:rsidRPr="00C60CC7">
              <w:rPr>
                <w:rFonts w:ascii="Garamond" w:eastAsia="Times New Roman" w:hAnsi="Garamond" w:cs="Times New Roman"/>
                <w:sz w:val="18"/>
                <w:szCs w:val="18"/>
                <w:lang w:eastAsia="sl-SI"/>
              </w:rPr>
              <w:br/>
              <w:t>Pedagoška </w:t>
            </w:r>
            <w:r w:rsidRPr="00C60CC7">
              <w:rPr>
                <w:rFonts w:ascii="Garamond" w:eastAsia="Times New Roman" w:hAnsi="Garamond" w:cs="Times New Roman"/>
                <w:i/>
                <w:iCs/>
                <w:sz w:val="18"/>
                <w:szCs w:val="18"/>
                <w:lang w:eastAsia="sl-SI"/>
              </w:rPr>
              <w:t>fakulteta</w:t>
            </w:r>
            <w:r w:rsidRPr="00C60CC7">
              <w:rPr>
                <w:rFonts w:ascii="Garamond" w:eastAsia="Times New Roman" w:hAnsi="Garamond" w:cs="Times New Roman"/>
                <w:sz w:val="18"/>
                <w:szCs w:val="18"/>
                <w:lang w:eastAsia="sl-SI"/>
              </w:rPr>
              <w:t> / </w:t>
            </w:r>
            <w:proofErr w:type="spellStart"/>
            <w:r w:rsidRPr="00C60CC7">
              <w:rPr>
                <w:rFonts w:ascii="Garamond" w:eastAsia="Times New Roman" w:hAnsi="Garamond" w:cs="Times New Roman"/>
                <w:color w:val="6D6E71"/>
                <w:sz w:val="18"/>
                <w:szCs w:val="18"/>
                <w:lang w:eastAsia="sl-SI"/>
              </w:rPr>
              <w:t>Faculty</w:t>
            </w:r>
            <w:proofErr w:type="spellEnd"/>
            <w:r w:rsidRPr="00C60CC7">
              <w:rPr>
                <w:rFonts w:ascii="Garamond" w:eastAsia="Times New Roman" w:hAnsi="Garamond" w:cs="Times New Roman"/>
                <w:color w:val="6D6E71"/>
                <w:sz w:val="18"/>
                <w:szCs w:val="18"/>
                <w:lang w:eastAsia="sl-SI"/>
              </w:rPr>
              <w:t> </w:t>
            </w:r>
            <w:proofErr w:type="spellStart"/>
            <w:r w:rsidRPr="00C60CC7">
              <w:rPr>
                <w:rFonts w:ascii="Garamond" w:eastAsia="Times New Roman" w:hAnsi="Garamond" w:cs="Times New Roman"/>
                <w:i/>
                <w:iCs/>
                <w:color w:val="6D6E71"/>
                <w:sz w:val="18"/>
                <w:szCs w:val="18"/>
                <w:lang w:eastAsia="sl-SI"/>
              </w:rPr>
              <w:t>of</w:t>
            </w:r>
            <w:proofErr w:type="spellEnd"/>
            <w:r w:rsidRPr="00C60CC7">
              <w:rPr>
                <w:rFonts w:ascii="Garamond" w:eastAsia="Times New Roman" w:hAnsi="Garamond" w:cs="Times New Roman"/>
                <w:i/>
                <w:iCs/>
                <w:color w:val="6D6E71"/>
                <w:sz w:val="18"/>
                <w:szCs w:val="18"/>
                <w:lang w:eastAsia="sl-SI"/>
              </w:rPr>
              <w:t xml:space="preserve"> </w:t>
            </w:r>
            <w:proofErr w:type="spellStart"/>
            <w:r w:rsidRPr="00C60CC7">
              <w:rPr>
                <w:rFonts w:ascii="Garamond" w:eastAsia="Times New Roman" w:hAnsi="Garamond" w:cs="Times New Roman"/>
                <w:i/>
                <w:iCs/>
                <w:color w:val="6D6E71"/>
                <w:sz w:val="18"/>
                <w:szCs w:val="18"/>
                <w:lang w:eastAsia="sl-SI"/>
              </w:rPr>
              <w:t>education</w:t>
            </w:r>
            <w:proofErr w:type="spellEnd"/>
            <w:r w:rsidRPr="00C60CC7">
              <w:rPr>
                <w:rFonts w:ascii="Garamond" w:eastAsia="Times New Roman" w:hAnsi="Garamond" w:cs="Times New Roman"/>
                <w:sz w:val="18"/>
                <w:szCs w:val="18"/>
                <w:lang w:eastAsia="sl-SI"/>
              </w:rPr>
              <w:br/>
            </w:r>
            <w:r w:rsidRPr="00C60CC7">
              <w:rPr>
                <w:rFonts w:ascii="Garamond" w:eastAsia="Times New Roman" w:hAnsi="Garamond" w:cs="Times New Roman"/>
                <w:sz w:val="18"/>
                <w:szCs w:val="18"/>
                <w:lang w:eastAsia="sl-SI"/>
              </w:rPr>
              <w:br/>
              <w:t>Kardeljeva ploš</w:t>
            </w:r>
            <w:r w:rsidRPr="00C60CC7">
              <w:rPr>
                <w:rFonts w:ascii="Times New Roman" w:eastAsia="Times New Roman" w:hAnsi="Times New Roman" w:cs="Times New Roman"/>
                <w:sz w:val="18"/>
                <w:szCs w:val="18"/>
                <w:lang w:eastAsia="sl-SI"/>
              </w:rPr>
              <w:t>č</w:t>
            </w:r>
            <w:r w:rsidRPr="00C60CC7">
              <w:rPr>
                <w:rFonts w:ascii="Garamond" w:eastAsia="Times New Roman" w:hAnsi="Garamond" w:cs="Times New Roman"/>
                <w:sz w:val="18"/>
                <w:szCs w:val="18"/>
                <w:lang w:eastAsia="sl-SI"/>
              </w:rPr>
              <w:t>ad 16, SI-1000 Ljubljana, Slovenija / </w:t>
            </w:r>
            <w:proofErr w:type="spellStart"/>
            <w:r w:rsidRPr="00C60CC7">
              <w:rPr>
                <w:rFonts w:ascii="Garamond" w:eastAsia="Times New Roman" w:hAnsi="Garamond" w:cs="Times New Roman"/>
                <w:color w:val="6D6E71"/>
                <w:sz w:val="18"/>
                <w:szCs w:val="18"/>
                <w:lang w:eastAsia="sl-SI"/>
              </w:rPr>
              <w:t>Slovenia</w:t>
            </w:r>
            <w:proofErr w:type="spellEnd"/>
            <w:r w:rsidRPr="00C60CC7">
              <w:rPr>
                <w:rFonts w:ascii="Garamond" w:eastAsia="Times New Roman" w:hAnsi="Garamond" w:cs="Times New Roman"/>
                <w:sz w:val="18"/>
                <w:szCs w:val="18"/>
                <w:lang w:eastAsia="sl-SI"/>
              </w:rPr>
              <w:br/>
              <w:t>T.: +386 1 5892 246, M.: </w:t>
            </w:r>
            <w:hyperlink r:id="rId19" w:tgtFrame="_blank" w:history="1">
              <w:r w:rsidRPr="00C60CC7">
                <w:rPr>
                  <w:rFonts w:ascii="Garamond" w:eastAsia="Times New Roman" w:hAnsi="Garamond" w:cs="Times New Roman"/>
                  <w:color w:val="1155CC"/>
                  <w:sz w:val="18"/>
                  <w:szCs w:val="18"/>
                  <w:u w:val="single"/>
                  <w:lang w:eastAsia="sl-SI"/>
                </w:rPr>
                <w:t>+386 (0) 41 640 700</w:t>
              </w:r>
            </w:hyperlink>
            <w:r w:rsidRPr="00C60CC7">
              <w:rPr>
                <w:rFonts w:ascii="Garamond" w:eastAsia="Times New Roman" w:hAnsi="Garamond" w:cs="Times New Roman"/>
                <w:sz w:val="18"/>
                <w:szCs w:val="18"/>
                <w:lang w:eastAsia="sl-SI"/>
              </w:rPr>
              <w:br/>
            </w:r>
            <w:hyperlink r:id="rId20" w:tgtFrame="_blank" w:history="1">
              <w:r w:rsidRPr="00C60CC7">
                <w:rPr>
                  <w:rFonts w:ascii="Garamond" w:eastAsia="Times New Roman" w:hAnsi="Garamond" w:cs="Times New Roman"/>
                  <w:color w:val="DF3127"/>
                  <w:sz w:val="18"/>
                  <w:szCs w:val="18"/>
                  <w:u w:val="single"/>
                  <w:lang w:eastAsia="sl-SI"/>
                </w:rPr>
                <w:t>Milena.Blazic@pef.uni-lj.si</w:t>
              </w:r>
            </w:hyperlink>
            <w:r w:rsidRPr="00C60CC7">
              <w:rPr>
                <w:rFonts w:ascii="Garamond" w:eastAsia="Times New Roman" w:hAnsi="Garamond" w:cs="Times New Roman"/>
                <w:sz w:val="18"/>
                <w:szCs w:val="18"/>
                <w:lang w:eastAsia="sl-SI"/>
              </w:rPr>
              <w:t>, </w:t>
            </w:r>
            <w:hyperlink r:id="rId21" w:tgtFrame="_blank" w:history="1">
              <w:r w:rsidRPr="00C60CC7">
                <w:rPr>
                  <w:rFonts w:ascii="Garamond" w:eastAsia="Times New Roman" w:hAnsi="Garamond" w:cs="Times New Roman"/>
                  <w:color w:val="DF3127"/>
                  <w:sz w:val="18"/>
                  <w:szCs w:val="18"/>
                  <w:u w:val="single"/>
                  <w:lang w:eastAsia="sl-SI"/>
                </w:rPr>
                <w:t>www.pef.uni-lj.si</w:t>
              </w:r>
            </w:hyperlink>
          </w:p>
        </w:tc>
      </w:tr>
      <w:tr w:rsidR="00C60CC7" w:rsidRPr="00C60CC7" w:rsidTr="00C60CC7">
        <w:trPr>
          <w:tblCellSpacing w:w="15" w:type="dxa"/>
        </w:trPr>
        <w:tc>
          <w:tcPr>
            <w:tcW w:w="0" w:type="auto"/>
            <w:vAlign w:val="center"/>
            <w:hideMark/>
          </w:tcPr>
          <w:p w:rsidR="00C60CC7" w:rsidRPr="00C60CC7" w:rsidRDefault="00C60CC7" w:rsidP="00C60CC7">
            <w:pPr>
              <w:spacing w:after="0" w:line="240" w:lineRule="auto"/>
              <w:rPr>
                <w:rFonts w:ascii="Times New Roman" w:eastAsia="Times New Roman" w:hAnsi="Times New Roman" w:cs="Times New Roman"/>
                <w:sz w:val="20"/>
                <w:szCs w:val="20"/>
                <w:lang w:eastAsia="sl-SI"/>
              </w:rPr>
            </w:pPr>
          </w:p>
        </w:tc>
        <w:tc>
          <w:tcPr>
            <w:tcW w:w="0" w:type="auto"/>
            <w:vMerge/>
            <w:tcBorders>
              <w:top w:val="nil"/>
              <w:left w:val="single" w:sz="8" w:space="0" w:color="DFE0E0"/>
              <w:bottom w:val="nil"/>
              <w:right w:val="nil"/>
            </w:tcBorders>
            <w:vAlign w:val="center"/>
            <w:hideMark/>
          </w:tcPr>
          <w:p w:rsidR="00C60CC7" w:rsidRPr="00C60CC7" w:rsidRDefault="00C60CC7" w:rsidP="00C60CC7">
            <w:pPr>
              <w:spacing w:after="0" w:line="240" w:lineRule="auto"/>
              <w:rPr>
                <w:rFonts w:ascii="Times New Roman" w:eastAsia="Times New Roman" w:hAnsi="Times New Roman" w:cs="Times New Roman"/>
                <w:sz w:val="24"/>
                <w:szCs w:val="24"/>
                <w:lang w:eastAsia="sl-SI"/>
              </w:rPr>
            </w:pPr>
          </w:p>
        </w:tc>
      </w:tr>
    </w:tbl>
    <w:p w:rsidR="00042C83" w:rsidRDefault="00C60CC7"/>
    <w:sectPr w:rsidR="00042C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CC7"/>
    <w:rsid w:val="006461D9"/>
    <w:rsid w:val="007878B7"/>
    <w:rsid w:val="00C60C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2E575-5223-4D28-81BA-1C7BADD2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821963">
      <w:bodyDiv w:val="1"/>
      <w:marLeft w:val="0"/>
      <w:marRight w:val="0"/>
      <w:marTop w:val="0"/>
      <w:marBottom w:val="0"/>
      <w:divBdr>
        <w:top w:val="none" w:sz="0" w:space="0" w:color="auto"/>
        <w:left w:val="none" w:sz="0" w:space="0" w:color="auto"/>
        <w:bottom w:val="none" w:sz="0" w:space="0" w:color="auto"/>
        <w:right w:val="none" w:sz="0" w:space="0" w:color="auto"/>
      </w:divBdr>
      <w:divsChild>
        <w:div w:id="591472947">
          <w:marLeft w:val="0"/>
          <w:marRight w:val="0"/>
          <w:marTop w:val="0"/>
          <w:marBottom w:val="0"/>
          <w:divBdr>
            <w:top w:val="none" w:sz="0" w:space="0" w:color="auto"/>
            <w:left w:val="none" w:sz="0" w:space="0" w:color="auto"/>
            <w:bottom w:val="none" w:sz="0" w:space="0" w:color="auto"/>
            <w:right w:val="none" w:sz="0" w:space="0" w:color="auto"/>
          </w:divBdr>
        </w:div>
        <w:div w:id="1324624255">
          <w:marLeft w:val="0"/>
          <w:marRight w:val="0"/>
          <w:marTop w:val="0"/>
          <w:marBottom w:val="0"/>
          <w:divBdr>
            <w:top w:val="none" w:sz="0" w:space="0" w:color="auto"/>
            <w:left w:val="none" w:sz="0" w:space="0" w:color="auto"/>
            <w:bottom w:val="none" w:sz="0" w:space="0" w:color="auto"/>
            <w:right w:val="none" w:sz="0" w:space="0" w:color="auto"/>
          </w:divBdr>
          <w:divsChild>
            <w:div w:id="401492329">
              <w:marLeft w:val="0"/>
              <w:marRight w:val="0"/>
              <w:marTop w:val="0"/>
              <w:marBottom w:val="0"/>
              <w:divBdr>
                <w:top w:val="none" w:sz="0" w:space="0" w:color="auto"/>
                <w:left w:val="none" w:sz="0" w:space="0" w:color="auto"/>
                <w:bottom w:val="none" w:sz="0" w:space="0" w:color="auto"/>
                <w:right w:val="none" w:sz="0" w:space="0" w:color="auto"/>
              </w:divBdr>
              <w:divsChild>
                <w:div w:id="1073622440">
                  <w:marLeft w:val="0"/>
                  <w:marRight w:val="0"/>
                  <w:marTop w:val="0"/>
                  <w:marBottom w:val="0"/>
                  <w:divBdr>
                    <w:top w:val="none" w:sz="0" w:space="0" w:color="auto"/>
                    <w:left w:val="none" w:sz="0" w:space="0" w:color="auto"/>
                    <w:bottom w:val="none" w:sz="0" w:space="0" w:color="auto"/>
                    <w:right w:val="none" w:sz="0" w:space="0" w:color="auto"/>
                  </w:divBdr>
                  <w:divsChild>
                    <w:div w:id="811674697">
                      <w:blockQuote w:val="1"/>
                      <w:marLeft w:val="720"/>
                      <w:marRight w:val="720"/>
                      <w:marTop w:val="100"/>
                      <w:marBottom w:val="100"/>
                      <w:divBdr>
                        <w:top w:val="none" w:sz="0" w:space="0" w:color="auto"/>
                        <w:left w:val="none" w:sz="0" w:space="0" w:color="auto"/>
                        <w:bottom w:val="none" w:sz="0" w:space="0" w:color="auto"/>
                        <w:right w:val="none" w:sz="0" w:space="0" w:color="auto"/>
                      </w:divBdr>
                    </w:div>
                    <w:div w:id="45111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515453">
                          <w:marLeft w:val="0"/>
                          <w:marRight w:val="0"/>
                          <w:marTop w:val="0"/>
                          <w:marBottom w:val="0"/>
                          <w:divBdr>
                            <w:top w:val="none" w:sz="0" w:space="0" w:color="auto"/>
                            <w:left w:val="none" w:sz="0" w:space="0" w:color="auto"/>
                            <w:bottom w:val="none" w:sz="0" w:space="0" w:color="auto"/>
                            <w:right w:val="none" w:sz="0" w:space="0" w:color="auto"/>
                          </w:divBdr>
                          <w:divsChild>
                            <w:div w:id="817844966">
                              <w:marLeft w:val="0"/>
                              <w:marRight w:val="0"/>
                              <w:marTop w:val="0"/>
                              <w:marBottom w:val="0"/>
                              <w:divBdr>
                                <w:top w:val="none" w:sz="0" w:space="0" w:color="auto"/>
                                <w:left w:val="none" w:sz="0" w:space="0" w:color="auto"/>
                                <w:bottom w:val="none" w:sz="0" w:space="0" w:color="auto"/>
                                <w:right w:val="none" w:sz="0" w:space="0" w:color="auto"/>
                              </w:divBdr>
                              <w:divsChild>
                                <w:div w:id="78720835">
                                  <w:marLeft w:val="0"/>
                                  <w:marRight w:val="0"/>
                                  <w:marTop w:val="0"/>
                                  <w:marBottom w:val="0"/>
                                  <w:divBdr>
                                    <w:top w:val="none" w:sz="0" w:space="0" w:color="auto"/>
                                    <w:left w:val="none" w:sz="0" w:space="0" w:color="auto"/>
                                    <w:bottom w:val="none" w:sz="0" w:space="0" w:color="auto"/>
                                    <w:right w:val="none" w:sz="0" w:space="0" w:color="auto"/>
                                  </w:divBdr>
                                  <w:divsChild>
                                    <w:div w:id="1856310059">
                                      <w:marLeft w:val="0"/>
                                      <w:marRight w:val="0"/>
                                      <w:marTop w:val="0"/>
                                      <w:marBottom w:val="0"/>
                                      <w:divBdr>
                                        <w:top w:val="none" w:sz="0" w:space="0" w:color="auto"/>
                                        <w:left w:val="none" w:sz="0" w:space="0" w:color="auto"/>
                                        <w:bottom w:val="none" w:sz="0" w:space="0" w:color="auto"/>
                                        <w:right w:val="none" w:sz="0" w:space="0" w:color="auto"/>
                                      </w:divBdr>
                                      <w:divsChild>
                                        <w:div w:id="2146654686">
                                          <w:marLeft w:val="0"/>
                                          <w:marRight w:val="0"/>
                                          <w:marTop w:val="0"/>
                                          <w:marBottom w:val="0"/>
                                          <w:divBdr>
                                            <w:top w:val="none" w:sz="0" w:space="0" w:color="auto"/>
                                            <w:left w:val="none" w:sz="0" w:space="0" w:color="auto"/>
                                            <w:bottom w:val="none" w:sz="0" w:space="0" w:color="auto"/>
                                            <w:right w:val="none" w:sz="0" w:space="0" w:color="auto"/>
                                          </w:divBdr>
                                        </w:div>
                                        <w:div w:id="91686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12/jis.64.1.11-19" TargetMode="External"/><Relationship Id="rId13" Type="http://schemas.openxmlformats.org/officeDocument/2006/relationships/hyperlink" Target="https://slovenia.si/sl/umetnost-in-kulturna-dediscina/kulturno-leto-2026-poklon-pesniku-srecku-kosovelu-in-pisateljici-zofki-kveder" TargetMode="External"/><Relationship Id="rId18" Type="http://schemas.openxmlformats.org/officeDocument/2006/relationships/hyperlink" Target="https://www.gov.si/drzavni-organi/ministrstva/ministrstvo-za-izobrazevanje-znanost-in-mladino/" TargetMode="External"/><Relationship Id="rId3" Type="http://schemas.openxmlformats.org/officeDocument/2006/relationships/webSettings" Target="webSettings.xml"/><Relationship Id="rId21" Type="http://schemas.openxmlformats.org/officeDocument/2006/relationships/hyperlink" Target="http://www.pef.uni-lj.si/" TargetMode="External"/><Relationship Id="rId7" Type="http://schemas.openxmlformats.org/officeDocument/2006/relationships/hyperlink" Target="http://www.dlib.si/" TargetMode="External"/><Relationship Id="rId12" Type="http://schemas.openxmlformats.org/officeDocument/2006/relationships/hyperlink" Target="https://doi.org/10.58885/ijllis.v13i4.11mb" TargetMode="External"/><Relationship Id="rId17" Type="http://schemas.openxmlformats.org/officeDocument/2006/relationships/hyperlink" Target="http://gov.si/" TargetMode="External"/><Relationship Id="rId2" Type="http://schemas.openxmlformats.org/officeDocument/2006/relationships/settings" Target="settings.xml"/><Relationship Id="rId16" Type="http://schemas.openxmlformats.org/officeDocument/2006/relationships/hyperlink" Target="https://press.um.si/index.php/ump/catalog/book/968" TargetMode="External"/><Relationship Id="rId20" Type="http://schemas.openxmlformats.org/officeDocument/2006/relationships/hyperlink" Target="mailto:Milena.Blazic@pef.uni-lj.si" TargetMode="External"/><Relationship Id="rId1" Type="http://schemas.openxmlformats.org/officeDocument/2006/relationships/styles" Target="styles.xml"/><Relationship Id="rId6" Type="http://schemas.openxmlformats.org/officeDocument/2006/relationships/hyperlink" Target="https://www.24ur.com/novice/slovenija/prvosolcem-prvic-v-roke-zastava-in-ustava.html" TargetMode="External"/><Relationship Id="rId11" Type="http://schemas.openxmlformats.org/officeDocument/2006/relationships/hyperlink" Target="https://doi.org/10.34291/Edinost/77/01/Blazic" TargetMode="External"/><Relationship Id="rId5" Type="http://schemas.openxmlformats.org/officeDocument/2006/relationships/hyperlink" Target="http://24ur.com/" TargetMode="External"/><Relationship Id="rId15" Type="http://schemas.openxmlformats.org/officeDocument/2006/relationships/hyperlink" Target="https://journals.uni-lj.si/jezikinslovstvo/article/view/17797" TargetMode="External"/><Relationship Id="rId23" Type="http://schemas.openxmlformats.org/officeDocument/2006/relationships/theme" Target="theme/theme1.xml"/><Relationship Id="rId10" Type="http://schemas.openxmlformats.org/officeDocument/2006/relationships/hyperlink" Target="https://repozitorij.uni-lj.si/IzpisGradiva.php?id=145318" TargetMode="External"/><Relationship Id="rId19" Type="http://schemas.openxmlformats.org/officeDocument/2006/relationships/hyperlink" Target="tel:+386%2041%20640%20700" TargetMode="External"/><Relationship Id="rId4" Type="http://schemas.openxmlformats.org/officeDocument/2006/relationships/hyperlink" Target="mailto:milena.blazic@pef.uni-lj.si" TargetMode="External"/><Relationship Id="rId9" Type="http://schemas.openxmlformats.org/officeDocument/2006/relationships/hyperlink" Target="https://repozitorij.uni-lj.si/IzpisGradiva.php?id=116209" TargetMode="External"/><Relationship Id="rId14" Type="http://schemas.openxmlformats.org/officeDocument/2006/relationships/hyperlink" Target="https://www.delo.si/novice/slovenija/sola-izobrazevanje-solstvo-znanje-borut-roncevic-minister" TargetMode="Externa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4148</Words>
  <Characters>23648</Characters>
  <Application>Microsoft Office Word</Application>
  <DocSecurity>0</DocSecurity>
  <Lines>197</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Barat</dc:creator>
  <cp:keywords/>
  <dc:description/>
  <cp:lastModifiedBy>Andreja Barat</cp:lastModifiedBy>
  <cp:revision>1</cp:revision>
  <dcterms:created xsi:type="dcterms:W3CDTF">2026-09-16T07:19:00Z</dcterms:created>
  <dcterms:modified xsi:type="dcterms:W3CDTF">2026-09-16T07:20:00Z</dcterms:modified>
</cp:coreProperties>
</file>